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png" ContentType="image/png"/>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5965" w14:textId="77777777" w:rsidR="002F4D5B" w:rsidRPr="002738AB" w:rsidRDefault="002F4D5B" w:rsidP="002738AB">
      <w:pPr>
        <w:pStyle w:val="Rubrik1"/>
        <w:framePr w:wrap="notBeside"/>
      </w:pPr>
      <w:r w:rsidRPr="002738AB">
        <w:t>Allmänna avtalsvillkor</w:t>
      </w:r>
    </w:p>
    <w:p w14:paraId="1A608263" w14:textId="77777777" w:rsidR="002F4D5B" w:rsidRPr="002738AB" w:rsidRDefault="002F4D5B" w:rsidP="002738AB">
      <w:pPr>
        <w:pStyle w:val="Rubrik2"/>
      </w:pPr>
      <w:r w:rsidRPr="002738AB">
        <w:t>Avtalsparter</w:t>
      </w:r>
    </w:p>
    <w:p w14:paraId="0376CBD6" w14:textId="6409AC12" w:rsidR="002F4D5B" w:rsidRPr="00C55657" w:rsidRDefault="002F4D5B" w:rsidP="002738AB">
      <w:pPr>
        <w:rPr>
          <w:rFonts w:ascii="Calibri" w:hAnsi="Calibri"/>
          <w:sz w:val="22"/>
        </w:rPr>
      </w:pPr>
      <w:r w:rsidRPr="002F4D5B">
        <w:t xml:space="preserve">I upphandling </w:t>
      </w:r>
      <w:r w:rsidR="00C55657">
        <w:t>Särskilt boende enligt SOL till personer med psykisk funktionsnedsättning, 2022</w:t>
      </w:r>
      <w:r w:rsidR="00C55657">
        <w:rPr>
          <w:rFonts w:ascii="Calibri" w:hAnsi="Calibri"/>
          <w:sz w:val="22"/>
        </w:rPr>
        <w:t xml:space="preserve"> </w:t>
      </w:r>
      <w:r w:rsidRPr="002F4D5B">
        <w:t xml:space="preserve">med diarienummer </w:t>
      </w:r>
      <w:r w:rsidR="009C32EE">
        <w:rPr>
          <w:noProof/>
        </w:rPr>
        <w:t xml:space="preserve">GNU 2021/145 </w:t>
      </w:r>
      <w:r w:rsidRPr="002F4D5B">
        <w:t>har nedanstående parter träffat följande avtal:</w:t>
      </w:r>
    </w:p>
    <w:p w14:paraId="7F76893C" w14:textId="77777777" w:rsidR="002F4D5B" w:rsidRPr="002738AB" w:rsidRDefault="002F4D5B" w:rsidP="002F4D5B">
      <w:pPr>
        <w:spacing w:after="60" w:line="240" w:lineRule="auto"/>
        <w:outlineLvl w:val="1"/>
        <w:rPr>
          <w:rFonts w:ascii="Franklin Gothic Medium" w:eastAsia="Times New Roman" w:hAnsi="Franklin Gothic Medium" w:cs="Arial"/>
          <w:sz w:val="22"/>
          <w:lang w:eastAsia="sv-SE"/>
        </w:rPr>
      </w:pPr>
      <w:r w:rsidRPr="002738AB">
        <w:rPr>
          <w:rFonts w:ascii="Franklin Gothic Medium" w:eastAsia="Times New Roman" w:hAnsi="Franklin Gothic Medium" w:cs="Arial"/>
          <w:sz w:val="22"/>
          <w:lang w:eastAsia="sv-SE"/>
        </w:rPr>
        <w:t>Upphandlande myndighet</w:t>
      </w:r>
    </w:p>
    <w:p w14:paraId="017BC15B" w14:textId="77777777" w:rsidR="002F4D5B" w:rsidRPr="002F4D5B" w:rsidRDefault="002F4D5B" w:rsidP="002F4D5B">
      <w:pPr>
        <w:tabs>
          <w:tab w:val="left" w:pos="3969"/>
          <w:tab w:val="left" w:pos="5670"/>
          <w:tab w:val="decimal" w:pos="7938"/>
        </w:tabs>
        <w:spacing w:after="60" w:line="240" w:lineRule="auto"/>
        <w:rPr>
          <w:rFonts w:eastAsia="Times New Roman" w:cs="Times New Roman"/>
          <w:szCs w:val="24"/>
          <w:lang w:eastAsia="sv-SE"/>
        </w:rPr>
      </w:pPr>
      <w:r w:rsidRPr="002F4D5B">
        <w:rPr>
          <w:rFonts w:eastAsia="Times New Roman" w:cs="Times New Roman"/>
          <w:szCs w:val="24"/>
          <w:lang w:eastAsia="sv-SE"/>
        </w:rPr>
        <w:t>Ludvika kommun genom gemensam nämnd för upphandlingssamverkan med</w:t>
      </w:r>
      <w:r w:rsidR="00690CE0">
        <w:rPr>
          <w:rFonts w:eastAsia="Times New Roman" w:cs="Times New Roman"/>
          <w:szCs w:val="24"/>
          <w:lang w:eastAsia="sv-SE"/>
        </w:rPr>
        <w:t xml:space="preserve"> organisationsnummer</w:t>
      </w:r>
      <w:r w:rsidRPr="002F4D5B">
        <w:rPr>
          <w:rFonts w:eastAsia="Times New Roman" w:cs="Times New Roman"/>
          <w:szCs w:val="24"/>
          <w:lang w:eastAsia="sv-SE"/>
        </w:rPr>
        <w:t xml:space="preserve"> 212000-2270, fortsättningsvis kallat Upphandlingscenter.</w:t>
      </w:r>
    </w:p>
    <w:p w14:paraId="03B56B99" w14:textId="77777777" w:rsidR="002F4D5B" w:rsidRPr="002F4D5B" w:rsidRDefault="002F4D5B" w:rsidP="002F4D5B">
      <w:pPr>
        <w:tabs>
          <w:tab w:val="left" w:pos="3969"/>
        </w:tabs>
        <w:spacing w:before="60" w:after="0" w:line="240" w:lineRule="auto"/>
        <w:ind w:left="1418"/>
        <w:outlineLvl w:val="3"/>
        <w:rPr>
          <w:rFonts w:ascii="Verdana" w:eastAsia="Times New Roman" w:hAnsi="Verdana" w:cs="Times New Roman"/>
          <w:b/>
          <w:smallCaps/>
          <w:kern w:val="28"/>
          <w:sz w:val="22"/>
          <w:szCs w:val="20"/>
          <w:lang w:eastAsia="sv-SE"/>
        </w:rPr>
      </w:pPr>
    </w:p>
    <w:p w14:paraId="61ED6E26" w14:textId="77777777" w:rsidR="002F4D5B" w:rsidRPr="002738AB" w:rsidRDefault="002F4D5B" w:rsidP="002F4D5B">
      <w:pPr>
        <w:spacing w:after="60" w:line="240" w:lineRule="auto"/>
        <w:outlineLvl w:val="1"/>
        <w:rPr>
          <w:rFonts w:ascii="Franklin Gothic Medium" w:eastAsia="Times New Roman" w:hAnsi="Franklin Gothic Medium" w:cs="Arial"/>
          <w:sz w:val="22"/>
          <w:szCs w:val="24"/>
          <w:lang w:eastAsia="sv-SE"/>
        </w:rPr>
      </w:pPr>
      <w:r w:rsidRPr="002738AB">
        <w:rPr>
          <w:rFonts w:ascii="Franklin Gothic Medium" w:eastAsia="Times New Roman" w:hAnsi="Franklin Gothic Medium" w:cs="Arial"/>
          <w:sz w:val="22"/>
          <w:szCs w:val="24"/>
          <w:lang w:eastAsia="sv-SE"/>
        </w:rPr>
        <w:t>Leverantör</w:t>
      </w:r>
    </w:p>
    <w:p w14:paraId="6CA79B86" w14:textId="451189CC" w:rsidR="002F4D5B" w:rsidRPr="002F4D5B" w:rsidRDefault="002F4D5B" w:rsidP="002F4D5B">
      <w:pPr>
        <w:tabs>
          <w:tab w:val="left" w:pos="3969"/>
          <w:tab w:val="left" w:pos="5670"/>
          <w:tab w:val="decimal" w:pos="7938"/>
        </w:tabs>
        <w:spacing w:after="60" w:line="240" w:lineRule="auto"/>
        <w:rPr>
          <w:rFonts w:eastAsia="Times New Roman" w:cs="Times New Roman"/>
          <w:szCs w:val="20"/>
          <w:lang w:eastAsia="sv-SE"/>
        </w:rPr>
      </w:pPr>
      <w:r w:rsidRPr="002F4D5B">
        <w:rPr>
          <w:rFonts w:eastAsia="Times New Roman" w:cs="Times New Roman"/>
          <w:szCs w:val="20"/>
          <w:lang w:eastAsia="sv-SE"/>
        </w:rPr>
        <w:t>Företagsnamn</w:t>
      </w:r>
      <w:r w:rsidR="001442DD">
        <w:rPr>
          <w:rFonts w:eastAsia="Times New Roman" w:cs="Times New Roman"/>
          <w:szCs w:val="20"/>
          <w:lang w:eastAsia="sv-SE"/>
        </w:rPr>
        <w:t>,</w:t>
      </w:r>
      <w:r w:rsidRPr="002F4D5B">
        <w:rPr>
          <w:rFonts w:eastAsia="Times New Roman" w:cs="Times New Roman"/>
          <w:szCs w:val="20"/>
          <w:lang w:eastAsia="sv-SE"/>
        </w:rPr>
        <w:t xml:space="preserve"> Organisationsnummer, fortsättningsvis kallad Leverantören.</w:t>
      </w:r>
      <w:r w:rsidRPr="002F4D5B">
        <w:tab/>
      </w:r>
    </w:p>
    <w:p w14:paraId="75065DF6" w14:textId="555B4E2E" w:rsidR="002F4D5B" w:rsidRDefault="002F4D5B" w:rsidP="002F4D5B">
      <w:pPr>
        <w:pStyle w:val="Rubrik2"/>
      </w:pPr>
      <w:r w:rsidRPr="002F4D5B">
        <w:t>Omfattning</w:t>
      </w:r>
    </w:p>
    <w:p w14:paraId="31F613E3" w14:textId="1E826544" w:rsidR="007941B2" w:rsidRDefault="007941B2" w:rsidP="0001109E">
      <w:pPr>
        <w:spacing w:line="240" w:lineRule="auto"/>
        <w:rPr>
          <w:rFonts w:cs="Arial"/>
          <w:bCs/>
        </w:rPr>
      </w:pPr>
      <w:r w:rsidRPr="001D10A1">
        <w:t xml:space="preserve">Avtalet omfattar Särskilt boende </w:t>
      </w:r>
      <w:r w:rsidRPr="001D10A1">
        <w:rPr>
          <w:rFonts w:cs="Arial"/>
          <w:bCs/>
        </w:rPr>
        <w:t>för personer med psykisk funktionsnedsättning inom funktionshinderomsorgen</w:t>
      </w:r>
      <w:r>
        <w:rPr>
          <w:rFonts w:cs="Arial"/>
          <w:bCs/>
        </w:rPr>
        <w:t xml:space="preserve"> för k</w:t>
      </w:r>
      <w:r w:rsidR="0047713B">
        <w:rPr>
          <w:rFonts w:cs="Arial"/>
          <w:bCs/>
        </w:rPr>
        <w:t xml:space="preserve">ommunerna Falun, </w:t>
      </w:r>
      <w:r>
        <w:rPr>
          <w:rFonts w:cs="Arial"/>
          <w:bCs/>
        </w:rPr>
        <w:t>Hedemora och Ludvika</w:t>
      </w:r>
      <w:r w:rsidRPr="00F122F4">
        <w:rPr>
          <w:rFonts w:cs="Arial"/>
          <w:bCs/>
        </w:rPr>
        <w:t>.</w:t>
      </w:r>
    </w:p>
    <w:p w14:paraId="62D1C446" w14:textId="60B2634C" w:rsidR="0084420D" w:rsidRDefault="0084420D" w:rsidP="0084420D">
      <w:r w:rsidRPr="00A960B8">
        <w:rPr>
          <w:noProof/>
        </w:rPr>
        <w:t>Målgruppen är personer från 18 år som har behov av placering på särskilt boende</w:t>
      </w:r>
      <w:r w:rsidRPr="00A960B8">
        <w:rPr>
          <w:rFonts w:cs="Arial"/>
          <w:bCs/>
        </w:rPr>
        <w:t xml:space="preserve"> enligt SoL</w:t>
      </w:r>
      <w:r w:rsidRPr="00074D73">
        <w:rPr>
          <w:noProof/>
        </w:rPr>
        <w:t xml:space="preserve"> </w:t>
      </w:r>
      <w:r>
        <w:rPr>
          <w:noProof/>
        </w:rPr>
        <w:t xml:space="preserve">Exempel på psykisk funktionsnedsättning kan vara exempelvis de som har </w:t>
      </w:r>
      <w:r>
        <w:t>psykiatriska diagnoser (funktionsnedsättning) i kombination med s</w:t>
      </w:r>
      <w:r w:rsidRPr="00316037">
        <w:t>amsjuklighet.</w:t>
      </w:r>
    </w:p>
    <w:p w14:paraId="3698374C" w14:textId="4AAF2F67" w:rsidR="007705BE" w:rsidRDefault="007705BE" w:rsidP="0084420D">
      <w:r>
        <w:t>Leverantören som ska bl.a. ha giltiga tillstånd för att bedriva särskilt boende samt finnas med i vårdgivarregistret, se mer krav i bilaga Kravspecifikation</w:t>
      </w:r>
      <w:r w:rsidR="0008280E">
        <w:t>.</w:t>
      </w:r>
    </w:p>
    <w:p w14:paraId="2295731F" w14:textId="7B830146" w:rsidR="005E6F24" w:rsidRDefault="005E6F24" w:rsidP="002F4D5B">
      <w:pPr>
        <w:pStyle w:val="Rubrik2"/>
      </w:pPr>
      <w:r>
        <w:t>Undantag till upphandlingen</w:t>
      </w:r>
      <w:r w:rsidR="00D5545C">
        <w:t xml:space="preserve"> </w:t>
      </w:r>
    </w:p>
    <w:p w14:paraId="1BC6ED07" w14:textId="2A2B4A29" w:rsidR="005E6F24" w:rsidRPr="001078C9" w:rsidRDefault="005E6F24" w:rsidP="00283310">
      <w:pPr>
        <w:pStyle w:val="Liststycke"/>
        <w:numPr>
          <w:ilvl w:val="0"/>
          <w:numId w:val="10"/>
        </w:numPr>
      </w:pPr>
      <w:r w:rsidRPr="001078C9">
        <w:t xml:space="preserve">I första hand kommer Beställarnas egna </w:t>
      </w:r>
      <w:r w:rsidR="00D5545C" w:rsidRPr="001078C9">
        <w:t>boende</w:t>
      </w:r>
      <w:r w:rsidRPr="001078C9">
        <w:t>platser att nyttjas</w:t>
      </w:r>
    </w:p>
    <w:p w14:paraId="6FB5DD6A" w14:textId="49936DEA" w:rsidR="005E6F24" w:rsidRPr="001078C9" w:rsidRDefault="005E6F24" w:rsidP="00283310">
      <w:pPr>
        <w:pStyle w:val="Liststycke"/>
        <w:numPr>
          <w:ilvl w:val="0"/>
          <w:numId w:val="10"/>
        </w:numPr>
      </w:pPr>
      <w:r w:rsidRPr="001078C9">
        <w:t xml:space="preserve">Politiska beslut tas i vissa kommuner innan </w:t>
      </w:r>
      <w:r w:rsidR="00D5545C" w:rsidRPr="001078C9">
        <w:t xml:space="preserve">extern plats får </w:t>
      </w:r>
      <w:r w:rsidR="00D066B1">
        <w:t>beställas/</w:t>
      </w:r>
      <w:r w:rsidR="00D5545C" w:rsidRPr="001078C9">
        <w:t>nyttjas</w:t>
      </w:r>
    </w:p>
    <w:p w14:paraId="197C15BE" w14:textId="11418281" w:rsidR="00D5545C" w:rsidRPr="00D066B1" w:rsidRDefault="005E6F24" w:rsidP="00283310">
      <w:pPr>
        <w:pStyle w:val="Liststycke"/>
        <w:numPr>
          <w:ilvl w:val="0"/>
          <w:numId w:val="10"/>
        </w:numPr>
      </w:pPr>
      <w:r w:rsidRPr="00D066B1">
        <w:t xml:space="preserve">Alla Beställare </w:t>
      </w:r>
      <w:r w:rsidR="00D5545C" w:rsidRPr="00D066B1">
        <w:t>kan ha</w:t>
      </w:r>
      <w:r w:rsidRPr="00D066B1">
        <w:t xml:space="preserve"> olika behov</w:t>
      </w:r>
      <w:r w:rsidR="00D5545C" w:rsidRPr="00D066B1">
        <w:t xml:space="preserve"> och de</w:t>
      </w:r>
      <w:r w:rsidR="00D711F0" w:rsidRPr="00D066B1">
        <w:t>tta</w:t>
      </w:r>
      <w:r w:rsidR="00D5545C" w:rsidRPr="00D066B1">
        <w:t xml:space="preserve"> kan påverka rangordningen</w:t>
      </w:r>
    </w:p>
    <w:p w14:paraId="48814342" w14:textId="701FC693" w:rsidR="00A550F9" w:rsidRDefault="00D5545C" w:rsidP="00A550F9">
      <w:pPr>
        <w:pStyle w:val="Liststycke"/>
        <w:numPr>
          <w:ilvl w:val="0"/>
          <w:numId w:val="10"/>
        </w:numPr>
      </w:pPr>
      <w:r w:rsidRPr="00D066B1">
        <w:t>De som redan bor på särskilt boende kommer få bo kvar där</w:t>
      </w:r>
    </w:p>
    <w:p w14:paraId="7D12671B" w14:textId="77777777" w:rsidR="00296FBF" w:rsidRDefault="00296FBF" w:rsidP="00296FBF">
      <w:pPr>
        <w:pStyle w:val="Liststycke"/>
        <w:numPr>
          <w:ilvl w:val="0"/>
          <w:numId w:val="10"/>
        </w:numPr>
      </w:pPr>
      <w:r w:rsidRPr="009F1353">
        <w:t>I specialfall utifrån den enskildes specif</w:t>
      </w:r>
      <w:r>
        <w:t>ika behov, om ingen rangordnad L</w:t>
      </w:r>
      <w:r w:rsidRPr="009F1353">
        <w:t>everantör klarar dessa specifika behov, kommer beställarna efter förfrågan att vända sig t</w:t>
      </w:r>
      <w:r>
        <w:t>ill andra externa L</w:t>
      </w:r>
      <w:r w:rsidRPr="009F1353">
        <w:t>everantörer</w:t>
      </w:r>
    </w:p>
    <w:p w14:paraId="577A2608" w14:textId="3F43AECB" w:rsidR="002F4D5B" w:rsidRPr="002F4D5B" w:rsidRDefault="002F4D5B" w:rsidP="002F4D5B">
      <w:pPr>
        <w:pStyle w:val="Rubrik2"/>
      </w:pPr>
      <w:r w:rsidRPr="002F4D5B">
        <w:t>Avropsberättigade myndigheter</w:t>
      </w:r>
    </w:p>
    <w:p w14:paraId="0411DEDF" w14:textId="77777777" w:rsidR="002F4D5B" w:rsidRPr="002F4D5B" w:rsidRDefault="002F4D5B" w:rsidP="002F4D5B">
      <w:r w:rsidRPr="002F4D5B">
        <w:t>Följande myndigheter har rätt att göra avrop på avtalet: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70"/>
        <w:gridCol w:w="1791"/>
        <w:gridCol w:w="1775"/>
      </w:tblGrid>
      <w:tr w:rsidR="00BA07E4" w:rsidRPr="002F4D5B" w14:paraId="55B9E82E" w14:textId="77777777" w:rsidTr="00385129">
        <w:trPr>
          <w:jc w:val="center"/>
        </w:trPr>
        <w:tc>
          <w:tcPr>
            <w:tcW w:w="4670" w:type="dxa"/>
            <w:shd w:val="solid" w:color="000000" w:fill="FFFFFF"/>
          </w:tcPr>
          <w:p w14:paraId="757922C3" w14:textId="77777777" w:rsidR="00BA07E4" w:rsidRPr="002738AB" w:rsidRDefault="00BA07E4" w:rsidP="00385129">
            <w:pPr>
              <w:spacing w:after="0" w:line="240" w:lineRule="auto"/>
              <w:rPr>
                <w:rFonts w:ascii="Franklin Gothic Medium" w:eastAsia="Times New Roman" w:hAnsi="Franklin Gothic Medium" w:cs="Arial"/>
                <w:bCs/>
                <w:sz w:val="22"/>
                <w:lang w:eastAsia="sv-SE"/>
              </w:rPr>
            </w:pPr>
            <w:r w:rsidRPr="002738AB">
              <w:rPr>
                <w:rFonts w:ascii="Franklin Gothic Medium" w:eastAsia="Times New Roman" w:hAnsi="Franklin Gothic Medium" w:cs="Arial"/>
                <w:bCs/>
                <w:sz w:val="22"/>
                <w:lang w:eastAsia="sv-SE"/>
              </w:rPr>
              <w:t xml:space="preserve">Beställare </w:t>
            </w:r>
          </w:p>
        </w:tc>
        <w:tc>
          <w:tcPr>
            <w:tcW w:w="1791" w:type="dxa"/>
            <w:shd w:val="solid" w:color="000000" w:fill="FFFFFF"/>
          </w:tcPr>
          <w:p w14:paraId="43377C90" w14:textId="77777777" w:rsidR="00BA07E4" w:rsidRPr="002738AB" w:rsidRDefault="00BA07E4" w:rsidP="00385129">
            <w:pPr>
              <w:spacing w:after="0" w:line="240" w:lineRule="auto"/>
              <w:rPr>
                <w:rFonts w:ascii="Franklin Gothic Medium" w:eastAsia="Times New Roman" w:hAnsi="Franklin Gothic Medium" w:cs="Arial"/>
                <w:bCs/>
                <w:sz w:val="22"/>
                <w:lang w:eastAsia="sv-SE"/>
              </w:rPr>
            </w:pPr>
            <w:r w:rsidRPr="002738AB">
              <w:rPr>
                <w:rFonts w:ascii="Franklin Gothic Medium" w:eastAsia="Times New Roman" w:hAnsi="Franklin Gothic Medium" w:cs="Arial"/>
                <w:bCs/>
                <w:sz w:val="22"/>
                <w:lang w:eastAsia="sv-SE"/>
              </w:rPr>
              <w:t>Organisations-nummer</w:t>
            </w:r>
          </w:p>
        </w:tc>
        <w:tc>
          <w:tcPr>
            <w:tcW w:w="0" w:type="auto"/>
            <w:shd w:val="solid" w:color="000000" w:fill="FFFFFF"/>
          </w:tcPr>
          <w:p w14:paraId="42B2858A" w14:textId="77777777" w:rsidR="00BA07E4" w:rsidRPr="002738AB" w:rsidRDefault="00BA07E4" w:rsidP="00385129">
            <w:pPr>
              <w:spacing w:after="0" w:line="240" w:lineRule="auto"/>
              <w:rPr>
                <w:rFonts w:ascii="Franklin Gothic Medium" w:eastAsia="Times New Roman" w:hAnsi="Franklin Gothic Medium" w:cs="Arial"/>
                <w:bCs/>
                <w:sz w:val="22"/>
                <w:lang w:eastAsia="sv-SE"/>
              </w:rPr>
            </w:pPr>
            <w:r w:rsidRPr="002738AB">
              <w:rPr>
                <w:rFonts w:ascii="Franklin Gothic Medium" w:eastAsia="Times New Roman" w:hAnsi="Franklin Gothic Medium" w:cs="Arial"/>
                <w:bCs/>
                <w:sz w:val="22"/>
                <w:lang w:eastAsia="sv-SE"/>
              </w:rPr>
              <w:t>Hemsida</w:t>
            </w:r>
          </w:p>
        </w:tc>
      </w:tr>
      <w:tr w:rsidR="00BA07E4" w:rsidRPr="002F4D5B" w14:paraId="188568E4" w14:textId="77777777" w:rsidTr="00385129">
        <w:trPr>
          <w:trHeight w:val="244"/>
          <w:jc w:val="center"/>
        </w:trPr>
        <w:tc>
          <w:tcPr>
            <w:tcW w:w="4670" w:type="dxa"/>
            <w:shd w:val="clear" w:color="auto" w:fill="auto"/>
          </w:tcPr>
          <w:p w14:paraId="580D1FE0" w14:textId="77777777" w:rsidR="00BA07E4" w:rsidRPr="002F4D5B" w:rsidRDefault="00BA07E4" w:rsidP="00385129">
            <w:pPr>
              <w:spacing w:after="0" w:line="240" w:lineRule="auto"/>
              <w:rPr>
                <w:rFonts w:eastAsia="Times New Roman" w:cs="Times New Roman"/>
                <w:sz w:val="22"/>
                <w:lang w:eastAsia="sv-SE"/>
              </w:rPr>
            </w:pPr>
            <w:r w:rsidRPr="002F4D5B">
              <w:rPr>
                <w:rFonts w:eastAsia="Times New Roman" w:cs="Times New Roman"/>
                <w:sz w:val="22"/>
                <w:lang w:eastAsia="sv-SE"/>
              </w:rPr>
              <w:t>Falu kommun</w:t>
            </w:r>
          </w:p>
        </w:tc>
        <w:tc>
          <w:tcPr>
            <w:tcW w:w="1791" w:type="dxa"/>
            <w:shd w:val="clear" w:color="auto" w:fill="auto"/>
          </w:tcPr>
          <w:p w14:paraId="0A8CB530" w14:textId="77777777" w:rsidR="00BA07E4" w:rsidRPr="002F4D5B" w:rsidRDefault="00BA07E4" w:rsidP="00385129">
            <w:pPr>
              <w:spacing w:after="0" w:line="240" w:lineRule="auto"/>
              <w:rPr>
                <w:rFonts w:eastAsia="Times New Roman" w:cs="Times New Roman"/>
                <w:sz w:val="22"/>
                <w:lang w:eastAsia="sv-SE"/>
              </w:rPr>
            </w:pPr>
            <w:r w:rsidRPr="002F4D5B">
              <w:rPr>
                <w:rFonts w:eastAsia="Times New Roman" w:cs="Times New Roman"/>
                <w:sz w:val="22"/>
                <w:lang w:eastAsia="sv-SE"/>
              </w:rPr>
              <w:t>212000 - 2221</w:t>
            </w:r>
          </w:p>
        </w:tc>
        <w:tc>
          <w:tcPr>
            <w:tcW w:w="0" w:type="auto"/>
            <w:shd w:val="clear" w:color="auto" w:fill="auto"/>
          </w:tcPr>
          <w:p w14:paraId="530F99A0" w14:textId="6E5CA306" w:rsidR="00BA07E4" w:rsidRPr="00C450AD" w:rsidRDefault="00150DEC" w:rsidP="00385129">
            <w:pPr>
              <w:spacing w:after="0" w:line="240" w:lineRule="auto"/>
              <w:rPr>
                <w:rFonts w:eastAsia="Times New Roman" w:cs="Times New Roman"/>
                <w:sz w:val="22"/>
                <w:lang w:eastAsia="sv-SE"/>
              </w:rPr>
            </w:pPr>
            <w:hyperlink r:id="rId11" w:history="1">
              <w:r w:rsidR="00385129" w:rsidRPr="00C450AD">
                <w:rPr>
                  <w:rStyle w:val="Hyperlnk"/>
                  <w:rFonts w:eastAsia="Times New Roman" w:cs="Times New Roman"/>
                  <w:color w:val="0000FF"/>
                  <w:sz w:val="22"/>
                  <w:u w:val="none"/>
                  <w:lang w:eastAsia="sv-SE"/>
                </w:rPr>
                <w:t>www.falun.se</w:t>
              </w:r>
            </w:hyperlink>
          </w:p>
        </w:tc>
      </w:tr>
      <w:tr w:rsidR="006624C5" w:rsidRPr="002F4D5B" w14:paraId="0ABBBA34" w14:textId="77777777" w:rsidTr="00385129">
        <w:trPr>
          <w:trHeight w:val="244"/>
          <w:jc w:val="center"/>
        </w:trPr>
        <w:tc>
          <w:tcPr>
            <w:tcW w:w="4670" w:type="dxa"/>
            <w:shd w:val="clear" w:color="auto" w:fill="auto"/>
          </w:tcPr>
          <w:p w14:paraId="4976BCC3" w14:textId="77777777" w:rsidR="006624C5" w:rsidRPr="002F4D5B" w:rsidRDefault="006624C5" w:rsidP="006624C5">
            <w:pPr>
              <w:spacing w:after="0" w:line="240" w:lineRule="auto"/>
              <w:rPr>
                <w:rFonts w:eastAsia="Times New Roman" w:cs="Times New Roman"/>
                <w:sz w:val="22"/>
                <w:lang w:eastAsia="sv-SE"/>
              </w:rPr>
            </w:pPr>
            <w:r w:rsidRPr="002F4D5B">
              <w:rPr>
                <w:rFonts w:eastAsia="Times New Roman" w:cs="Times New Roman"/>
                <w:sz w:val="22"/>
                <w:lang w:eastAsia="sv-SE"/>
              </w:rPr>
              <w:t>Hedemora kommun</w:t>
            </w:r>
          </w:p>
        </w:tc>
        <w:tc>
          <w:tcPr>
            <w:tcW w:w="1791" w:type="dxa"/>
            <w:shd w:val="clear" w:color="auto" w:fill="auto"/>
          </w:tcPr>
          <w:p w14:paraId="6B344F2B" w14:textId="77777777" w:rsidR="006624C5" w:rsidRPr="002F4D5B" w:rsidRDefault="006624C5" w:rsidP="006624C5">
            <w:pPr>
              <w:spacing w:after="0" w:line="240" w:lineRule="auto"/>
              <w:rPr>
                <w:rFonts w:eastAsia="Times New Roman" w:cs="Times New Roman"/>
                <w:sz w:val="22"/>
                <w:lang w:eastAsia="sv-SE"/>
              </w:rPr>
            </w:pPr>
            <w:r w:rsidRPr="002F4D5B">
              <w:rPr>
                <w:rFonts w:eastAsia="Times New Roman" w:cs="Times New Roman"/>
                <w:sz w:val="22"/>
                <w:lang w:eastAsia="sv-SE"/>
              </w:rPr>
              <w:t>212000 - 2254</w:t>
            </w:r>
          </w:p>
        </w:tc>
        <w:tc>
          <w:tcPr>
            <w:tcW w:w="0" w:type="auto"/>
            <w:shd w:val="clear" w:color="auto" w:fill="auto"/>
          </w:tcPr>
          <w:p w14:paraId="50CE05A7" w14:textId="7AC856D1" w:rsidR="006624C5" w:rsidRPr="002F4D5B" w:rsidRDefault="00150DEC" w:rsidP="006624C5">
            <w:pPr>
              <w:spacing w:after="0" w:line="240" w:lineRule="auto"/>
              <w:rPr>
                <w:rFonts w:eastAsia="Times New Roman" w:cs="Times New Roman"/>
                <w:sz w:val="22"/>
                <w:lang w:eastAsia="sv-SE"/>
              </w:rPr>
            </w:pPr>
            <w:hyperlink r:id="rId12" w:history="1">
              <w:r w:rsidR="006624C5" w:rsidRPr="002F4D5B">
                <w:rPr>
                  <w:rFonts w:eastAsia="Times New Roman" w:cs="Times New Roman"/>
                  <w:color w:val="0000FF"/>
                  <w:sz w:val="22"/>
                  <w:lang w:eastAsia="sv-SE"/>
                </w:rPr>
                <w:t>www.hedemora.se</w:t>
              </w:r>
            </w:hyperlink>
          </w:p>
        </w:tc>
      </w:tr>
      <w:tr w:rsidR="006624C5" w:rsidRPr="002F4D5B" w14:paraId="6CF4003F" w14:textId="77777777" w:rsidTr="00385129">
        <w:trPr>
          <w:jc w:val="center"/>
        </w:trPr>
        <w:tc>
          <w:tcPr>
            <w:tcW w:w="4670" w:type="dxa"/>
            <w:shd w:val="clear" w:color="auto" w:fill="auto"/>
          </w:tcPr>
          <w:p w14:paraId="7C04DCC8" w14:textId="77777777" w:rsidR="006624C5" w:rsidRPr="002F4D5B" w:rsidRDefault="006624C5" w:rsidP="006624C5">
            <w:pPr>
              <w:spacing w:after="0" w:line="240" w:lineRule="auto"/>
              <w:rPr>
                <w:rFonts w:eastAsia="Times New Roman" w:cs="Times New Roman"/>
                <w:sz w:val="22"/>
                <w:lang w:eastAsia="sv-SE"/>
              </w:rPr>
            </w:pPr>
            <w:r w:rsidRPr="002F4D5B">
              <w:rPr>
                <w:rFonts w:eastAsia="Times New Roman" w:cs="Times New Roman"/>
                <w:sz w:val="22"/>
                <w:lang w:eastAsia="sv-SE"/>
              </w:rPr>
              <w:lastRenderedPageBreak/>
              <w:t>Ludvika kommun</w:t>
            </w:r>
          </w:p>
        </w:tc>
        <w:tc>
          <w:tcPr>
            <w:tcW w:w="1791" w:type="dxa"/>
            <w:shd w:val="clear" w:color="auto" w:fill="auto"/>
          </w:tcPr>
          <w:p w14:paraId="6196CD08" w14:textId="77777777" w:rsidR="006624C5" w:rsidRPr="002F4D5B" w:rsidRDefault="006624C5" w:rsidP="006624C5">
            <w:pPr>
              <w:spacing w:after="0" w:line="240" w:lineRule="auto"/>
              <w:rPr>
                <w:rFonts w:eastAsia="Times New Roman" w:cs="Times New Roman"/>
                <w:sz w:val="22"/>
                <w:lang w:eastAsia="sv-SE"/>
              </w:rPr>
            </w:pPr>
            <w:r w:rsidRPr="002F4D5B">
              <w:rPr>
                <w:rFonts w:eastAsia="Times New Roman" w:cs="Times New Roman"/>
                <w:sz w:val="22"/>
                <w:lang w:eastAsia="sv-SE"/>
              </w:rPr>
              <w:t>212000 - 2270</w:t>
            </w:r>
          </w:p>
        </w:tc>
        <w:tc>
          <w:tcPr>
            <w:tcW w:w="0" w:type="auto"/>
            <w:shd w:val="clear" w:color="auto" w:fill="auto"/>
          </w:tcPr>
          <w:p w14:paraId="714486CB" w14:textId="54ECC21F" w:rsidR="006624C5" w:rsidRPr="002F4D5B" w:rsidRDefault="00150DEC" w:rsidP="006624C5">
            <w:pPr>
              <w:spacing w:after="0" w:line="240" w:lineRule="auto"/>
              <w:rPr>
                <w:rFonts w:eastAsia="Times New Roman" w:cs="Times New Roman"/>
                <w:sz w:val="22"/>
                <w:lang w:eastAsia="sv-SE"/>
              </w:rPr>
            </w:pPr>
            <w:hyperlink r:id="rId13" w:history="1">
              <w:r w:rsidR="006624C5" w:rsidRPr="002F4D5B">
                <w:rPr>
                  <w:rFonts w:eastAsia="Times New Roman" w:cs="Times New Roman"/>
                  <w:color w:val="0000FF"/>
                  <w:sz w:val="22"/>
                  <w:lang w:eastAsia="sv-SE"/>
                </w:rPr>
                <w:t>www.ludvika.se</w:t>
              </w:r>
            </w:hyperlink>
          </w:p>
        </w:tc>
      </w:tr>
    </w:tbl>
    <w:p w14:paraId="5D4507C3" w14:textId="06C8477E" w:rsidR="002F4D5B" w:rsidRPr="002F4D5B" w:rsidRDefault="00D711F0" w:rsidP="002F4D5B">
      <w:r>
        <w:br/>
      </w:r>
      <w:r w:rsidR="002F4D5B" w:rsidRPr="002F4D5B">
        <w:t>Fortsättningsvis benämns dessa myndigheter Beställare.</w:t>
      </w:r>
    </w:p>
    <w:p w14:paraId="3C479DE7" w14:textId="4C227050" w:rsidR="002F4D5B" w:rsidRPr="002F4D5B" w:rsidRDefault="002F4D5B" w:rsidP="002F4D5B">
      <w:pPr>
        <w:pStyle w:val="Rubrik2"/>
      </w:pPr>
      <w:r w:rsidRPr="002F4D5B">
        <w:t xml:space="preserve">Avtalsperiod </w:t>
      </w:r>
    </w:p>
    <w:p w14:paraId="1F12309C" w14:textId="67495290" w:rsidR="002F4D5B" w:rsidRPr="008A69A8" w:rsidRDefault="002F4D5B" w:rsidP="005E6F24">
      <w:r w:rsidRPr="008A69A8">
        <w:t xml:space="preserve">Detta avtal gäller från och med </w:t>
      </w:r>
      <w:r w:rsidR="0001109E" w:rsidRPr="008A69A8">
        <w:t>22-11-01</w:t>
      </w:r>
      <w:r w:rsidRPr="008A69A8">
        <w:t xml:space="preserve"> till och med </w:t>
      </w:r>
      <w:r w:rsidR="005E6F24" w:rsidRPr="008A69A8">
        <w:t>24-10-31</w:t>
      </w:r>
      <w:r w:rsidRPr="008A69A8">
        <w:t xml:space="preserve"> med rätt till förlängning </w:t>
      </w:r>
      <w:r w:rsidR="005E6F24" w:rsidRPr="008A69A8">
        <w:t xml:space="preserve">i högst </w:t>
      </w:r>
      <w:r w:rsidR="008A69A8" w:rsidRPr="008A69A8">
        <w:t xml:space="preserve">24 månader </w:t>
      </w:r>
      <w:r w:rsidR="005E6F24" w:rsidRPr="008A69A8">
        <w:t>från Upphandlingscenters sida med oförändrade villkor</w:t>
      </w:r>
      <w:r w:rsidRPr="008A69A8">
        <w:t>. Upphandlingscenter meddelar Leverantören senast</w:t>
      </w:r>
      <w:r w:rsidRPr="008A69A8">
        <w:rPr>
          <w:i/>
        </w:rPr>
        <w:t xml:space="preserve"> </w:t>
      </w:r>
      <w:r w:rsidR="00001BC5" w:rsidRPr="008A69A8">
        <w:t>tre</w:t>
      </w:r>
      <w:r w:rsidRPr="008A69A8">
        <w:t xml:space="preserve"> månader innan avtalets slutdatum om förlängningsmöjligheten kommer att nyttjas.</w:t>
      </w:r>
    </w:p>
    <w:p w14:paraId="0F4CD95A" w14:textId="5DCE25A4" w:rsidR="006773A0" w:rsidRPr="008A69A8" w:rsidRDefault="006773A0" w:rsidP="006773A0">
      <w:r w:rsidRPr="008A69A8">
        <w:t xml:space="preserve">Upphandlingscenter har rätt att undanta </w:t>
      </w:r>
      <w:r w:rsidR="0008280E">
        <w:t>tjänste</w:t>
      </w:r>
      <w:r w:rsidRPr="008A69A8">
        <w:t>delar eller avropsberättigande Beställare från avtalet från optionen vid förlängning eller om takvolym uppnås för någon grupp.</w:t>
      </w:r>
    </w:p>
    <w:p w14:paraId="12779F3E" w14:textId="6D6C4794" w:rsidR="00EC5943" w:rsidRDefault="00EC5943" w:rsidP="00EC5943">
      <w:r w:rsidRPr="008A69A8">
        <w:t>Vid uppnådd takvolym un</w:t>
      </w:r>
      <w:r w:rsidR="009B1E6D">
        <w:t>der avtalstiden enligt punkt 1.12</w:t>
      </w:r>
      <w:r w:rsidRPr="008A69A8">
        <w:t>.1 upphör ramavtalet att gälla.</w:t>
      </w:r>
    </w:p>
    <w:p w14:paraId="70B4703F" w14:textId="18EFECEC" w:rsidR="002F4D5B" w:rsidRDefault="007D3FED" w:rsidP="00D644DE">
      <w:pPr>
        <w:pStyle w:val="Rubrik2"/>
      </w:pPr>
      <w:r w:rsidRPr="00351F24">
        <w:t>Tjänstens</w:t>
      </w:r>
      <w:r>
        <w:t xml:space="preserve"> utförande</w:t>
      </w:r>
    </w:p>
    <w:p w14:paraId="79E21D44" w14:textId="641B6709" w:rsidR="00F16A37" w:rsidRPr="00395971" w:rsidRDefault="00D5545C" w:rsidP="00F16A37">
      <w:r w:rsidRPr="00D711F0">
        <w:t xml:space="preserve">Tjänstens </w:t>
      </w:r>
      <w:r w:rsidR="005D7F28" w:rsidRPr="00D711F0">
        <w:t>omfatta</w:t>
      </w:r>
      <w:r w:rsidR="00167AEE">
        <w:t>de; se punkt 1.2, s</w:t>
      </w:r>
      <w:r w:rsidR="00B16E3F" w:rsidRPr="00D711F0">
        <w:t xml:space="preserve">e även </w:t>
      </w:r>
      <w:r w:rsidR="00F16A37" w:rsidRPr="00D711F0">
        <w:t>bilaga Kravspecifikation</w:t>
      </w:r>
      <w:r w:rsidR="00B16E3F" w:rsidRPr="00D711F0">
        <w:t>.</w:t>
      </w:r>
    </w:p>
    <w:p w14:paraId="079EEC0B" w14:textId="77777777" w:rsidR="00C43422" w:rsidRPr="002738AB" w:rsidRDefault="00C43422" w:rsidP="002738AB">
      <w:pPr>
        <w:pStyle w:val="Rubrik3"/>
      </w:pPr>
      <w:r w:rsidRPr="002738AB">
        <w:t>Tjänstekvalitet</w:t>
      </w:r>
    </w:p>
    <w:p w14:paraId="47C6BF14" w14:textId="688A03AB" w:rsidR="005D7F28" w:rsidRDefault="00C43422" w:rsidP="001132E5">
      <w:r>
        <w:t>Tjänsten ska under hela avtalsperioden motsvara det som har avtalats. Tjänsten ska motsvara de uppgifter som lämnats till Beställaren om tjänstens innehåll, prestanda eller andra förhållanden med b</w:t>
      </w:r>
      <w:r w:rsidR="008A69A8">
        <w:t>etydelse för tjänstens kvalitet, se även bilaga Kravspecifikation.</w:t>
      </w:r>
      <w:r>
        <w:t xml:space="preserve"> </w:t>
      </w:r>
    </w:p>
    <w:p w14:paraId="39453787" w14:textId="7E071142" w:rsidR="00A550F9" w:rsidRPr="00192EF1" w:rsidRDefault="00090A50" w:rsidP="00E039D6">
      <w:pPr>
        <w:pStyle w:val="Rubrik2"/>
        <w:spacing w:line="256" w:lineRule="auto"/>
      </w:pPr>
      <w:r w:rsidRPr="00192EF1">
        <w:t>Rangordnat avtal</w:t>
      </w:r>
    </w:p>
    <w:p w14:paraId="77127923" w14:textId="77777777" w:rsidR="001132E5" w:rsidRDefault="001132E5" w:rsidP="001132E5">
      <w:r>
        <w:t>Rangordning:</w:t>
      </w:r>
    </w:p>
    <w:p w14:paraId="0B0630B6" w14:textId="77777777" w:rsidR="001132E5" w:rsidRDefault="001132E5" w:rsidP="001132E5">
      <w:pPr>
        <w:pStyle w:val="Liststycke"/>
        <w:numPr>
          <w:ilvl w:val="0"/>
          <w:numId w:val="20"/>
        </w:numPr>
        <w:spacing w:line="256" w:lineRule="auto"/>
      </w:pPr>
      <w:proofErr w:type="spellStart"/>
      <w:r>
        <w:t>Xx</w:t>
      </w:r>
      <w:proofErr w:type="spellEnd"/>
    </w:p>
    <w:p w14:paraId="078772D0" w14:textId="77777777" w:rsidR="001132E5" w:rsidRDefault="001132E5" w:rsidP="001132E5">
      <w:pPr>
        <w:pStyle w:val="Liststycke"/>
        <w:numPr>
          <w:ilvl w:val="0"/>
          <w:numId w:val="20"/>
        </w:numPr>
        <w:spacing w:line="256" w:lineRule="auto"/>
      </w:pPr>
      <w:proofErr w:type="spellStart"/>
      <w:r>
        <w:t>Xx</w:t>
      </w:r>
      <w:proofErr w:type="spellEnd"/>
    </w:p>
    <w:p w14:paraId="724C4DFB" w14:textId="62A632B5" w:rsidR="001132E5" w:rsidRDefault="001132E5" w:rsidP="001132E5">
      <w:pPr>
        <w:pStyle w:val="Liststycke"/>
        <w:numPr>
          <w:ilvl w:val="0"/>
          <w:numId w:val="20"/>
        </w:numPr>
        <w:spacing w:line="256" w:lineRule="auto"/>
      </w:pPr>
      <w:proofErr w:type="spellStart"/>
      <w:r>
        <w:t>Xx</w:t>
      </w:r>
      <w:proofErr w:type="spellEnd"/>
    </w:p>
    <w:p w14:paraId="1CF440BE" w14:textId="344502A8" w:rsidR="001132E5" w:rsidRDefault="001132E5" w:rsidP="001132E5">
      <w:pPr>
        <w:pStyle w:val="Liststycke"/>
        <w:numPr>
          <w:ilvl w:val="0"/>
          <w:numId w:val="20"/>
        </w:numPr>
        <w:spacing w:line="256" w:lineRule="auto"/>
      </w:pPr>
      <w:proofErr w:type="spellStart"/>
      <w:r>
        <w:t>Xx</w:t>
      </w:r>
      <w:proofErr w:type="spellEnd"/>
    </w:p>
    <w:p w14:paraId="5683BA0D" w14:textId="651D0CDD" w:rsidR="001132E5" w:rsidRDefault="001132E5" w:rsidP="001132E5">
      <w:pPr>
        <w:pStyle w:val="Liststycke"/>
        <w:numPr>
          <w:ilvl w:val="0"/>
          <w:numId w:val="20"/>
        </w:numPr>
        <w:spacing w:line="256" w:lineRule="auto"/>
      </w:pPr>
      <w:proofErr w:type="spellStart"/>
      <w:r>
        <w:t>Xx</w:t>
      </w:r>
      <w:proofErr w:type="spellEnd"/>
    </w:p>
    <w:p w14:paraId="2683582C" w14:textId="18C63628" w:rsidR="001132E5" w:rsidRDefault="001132E5" w:rsidP="001132E5">
      <w:pPr>
        <w:pStyle w:val="Liststycke"/>
        <w:numPr>
          <w:ilvl w:val="0"/>
          <w:numId w:val="20"/>
        </w:numPr>
        <w:spacing w:line="256" w:lineRule="auto"/>
      </w:pPr>
      <w:proofErr w:type="spellStart"/>
      <w:r>
        <w:t>Xx</w:t>
      </w:r>
      <w:proofErr w:type="spellEnd"/>
    </w:p>
    <w:p w14:paraId="071869F0" w14:textId="7BEB9184" w:rsidR="001132E5" w:rsidRDefault="001132E5" w:rsidP="001132E5">
      <w:pPr>
        <w:pStyle w:val="Liststycke"/>
        <w:numPr>
          <w:ilvl w:val="0"/>
          <w:numId w:val="20"/>
        </w:numPr>
        <w:spacing w:line="256" w:lineRule="auto"/>
      </w:pPr>
      <w:proofErr w:type="spellStart"/>
      <w:r>
        <w:t>Xx</w:t>
      </w:r>
      <w:proofErr w:type="spellEnd"/>
      <w:r w:rsidR="00896B19">
        <w:t xml:space="preserve">  </w:t>
      </w:r>
    </w:p>
    <w:p w14:paraId="2E9D325E" w14:textId="3259FF3A" w:rsidR="005D7F28" w:rsidRPr="000E2862" w:rsidRDefault="001132E5" w:rsidP="008A61FD">
      <w:r>
        <w:t xml:space="preserve">De Leverantörer som klarar kraven </w:t>
      </w:r>
      <w:r w:rsidRPr="000E2862">
        <w:t>kommer</w:t>
      </w:r>
      <w:r>
        <w:t xml:space="preserve"> att</w:t>
      </w:r>
      <w:r w:rsidRPr="000E2862">
        <w:t xml:space="preserve"> </w:t>
      </w:r>
      <w:r w:rsidR="00896B19">
        <w:t>rangordnas</w:t>
      </w:r>
      <w:r>
        <w:t xml:space="preserve"> </w:t>
      </w:r>
      <w:r w:rsidRPr="000E2862">
        <w:t>utifr</w:t>
      </w:r>
      <w:r w:rsidR="00896B19">
        <w:t>ån de offererade avtalspriserna, f</w:t>
      </w:r>
      <w:r w:rsidR="005D7F28" w:rsidRPr="000E2862">
        <w:t>rån det lä</w:t>
      </w:r>
      <w:r w:rsidR="005C2613">
        <w:t>gsta till det högsta priset</w:t>
      </w:r>
      <w:r>
        <w:t xml:space="preserve">. </w:t>
      </w:r>
      <w:r w:rsidRPr="000E2862">
        <w:t xml:space="preserve">Ett lägre pris ger en högre placering på </w:t>
      </w:r>
      <w:r>
        <w:t>den rangordnade listan</w:t>
      </w:r>
    </w:p>
    <w:p w14:paraId="3E23F137" w14:textId="671C998A" w:rsidR="0015190F" w:rsidRPr="00192EF1" w:rsidRDefault="0015190F" w:rsidP="00896B19">
      <w:pPr>
        <w:pStyle w:val="Rubrik3"/>
      </w:pPr>
      <w:r w:rsidRPr="00192EF1">
        <w:t>Avrop rangordnad upphandling</w:t>
      </w:r>
    </w:p>
    <w:p w14:paraId="03E9A439" w14:textId="77777777" w:rsidR="0015190F" w:rsidRPr="0015190F" w:rsidRDefault="0015190F" w:rsidP="0015190F">
      <w:r w:rsidRPr="0015190F">
        <w:t>Vid beställning ska orderbekräftelse omgående skickas till beställarna. Skriftliga avrop ska i första hand göras från den leverantör som är rankad som nummer ett.</w:t>
      </w:r>
    </w:p>
    <w:p w14:paraId="354DDEFF" w14:textId="73AC4524" w:rsidR="0015190F" w:rsidRPr="0015190F" w:rsidRDefault="0015190F" w:rsidP="0015190F">
      <w:r w:rsidRPr="0015190F">
        <w:t>Först när denne inte har kapacitet att genomföra avropat uppdrag går uppdraget till leverantör rankad som numm</w:t>
      </w:r>
      <w:r w:rsidR="005C2613">
        <w:t>er två och därpå till följande L</w:t>
      </w:r>
      <w:r w:rsidRPr="0015190F">
        <w:t>everantörer i den ordning de är rankade.</w:t>
      </w:r>
    </w:p>
    <w:p w14:paraId="7CE1CB5B" w14:textId="6FB1A385" w:rsidR="009F1353" w:rsidRDefault="0015190F" w:rsidP="009F1353">
      <w:r w:rsidRPr="0015190F">
        <w:t xml:space="preserve">Leverantör ska skriftligen eller via e-post bekräfta avropat </w:t>
      </w:r>
      <w:r w:rsidRPr="002D4355">
        <w:t xml:space="preserve">uppdrag inom </w:t>
      </w:r>
      <w:r w:rsidR="002D4355" w:rsidRPr="002D4355">
        <w:t>två</w:t>
      </w:r>
      <w:r w:rsidRPr="002D4355">
        <w:t xml:space="preserve"> arbetsdag,</w:t>
      </w:r>
      <w:r w:rsidRPr="0015190F">
        <w:t xml:space="preserve"> annars går uppdraget automatiskt vidare i rangordningen.</w:t>
      </w:r>
      <w:r>
        <w:t xml:space="preserve"> </w:t>
      </w:r>
    </w:p>
    <w:p w14:paraId="7A37D6E8" w14:textId="540DDABB" w:rsidR="00FF293B" w:rsidRPr="002D4355" w:rsidRDefault="0015190F" w:rsidP="0055747D">
      <w:pPr>
        <w:rPr>
          <w:color w:val="000000" w:themeColor="text1"/>
        </w:rPr>
      </w:pPr>
      <w:r w:rsidRPr="002D4355">
        <w:lastRenderedPageBreak/>
        <w:t xml:space="preserve">I avropen anger beställarna </w:t>
      </w:r>
      <w:r w:rsidRPr="002D4355">
        <w:rPr>
          <w:color w:val="000000" w:themeColor="text1"/>
        </w:rPr>
        <w:t xml:space="preserve">behovet av </w:t>
      </w:r>
      <w:proofErr w:type="spellStart"/>
      <w:r w:rsidRPr="002D4355">
        <w:rPr>
          <w:color w:val="000000" w:themeColor="text1"/>
        </w:rPr>
        <w:t>inflytt</w:t>
      </w:r>
      <w:proofErr w:type="spellEnd"/>
      <w:r w:rsidRPr="002D4355">
        <w:rPr>
          <w:color w:val="000000" w:themeColor="text1"/>
        </w:rPr>
        <w:t xml:space="preserve">- och </w:t>
      </w:r>
      <w:r w:rsidR="002D4355" w:rsidRPr="002D4355">
        <w:rPr>
          <w:color w:val="000000" w:themeColor="text1"/>
        </w:rPr>
        <w:t xml:space="preserve">eventuell </w:t>
      </w:r>
      <w:r w:rsidRPr="002D4355">
        <w:rPr>
          <w:color w:val="000000" w:themeColor="text1"/>
        </w:rPr>
        <w:t>utflyttstid för placering.</w:t>
      </w:r>
      <w:r w:rsidR="009F1353" w:rsidRPr="002D4355">
        <w:rPr>
          <w:color w:val="000000" w:themeColor="text1"/>
        </w:rPr>
        <w:t xml:space="preserve"> </w:t>
      </w:r>
    </w:p>
    <w:p w14:paraId="3B40B6EA" w14:textId="0D3C2778" w:rsidR="0055747D" w:rsidRDefault="0055747D" w:rsidP="0055747D">
      <w:r w:rsidRPr="002D4355">
        <w:t xml:space="preserve">Vårdplats ska finnas tillgänglig senast </w:t>
      </w:r>
      <w:r w:rsidR="002D4355" w:rsidRPr="002D4355">
        <w:t>inom tre</w:t>
      </w:r>
      <w:r w:rsidRPr="002D4355">
        <w:t xml:space="preserve"> dagar efter avrop</w:t>
      </w:r>
      <w:r w:rsidR="00FF293B" w:rsidRPr="002D4355">
        <w:t xml:space="preserve"> om ej behovstiden är längre fram</w:t>
      </w:r>
      <w:r w:rsidRPr="002D4355">
        <w:t>.</w:t>
      </w:r>
    </w:p>
    <w:p w14:paraId="2A7817B5" w14:textId="6CF93A71" w:rsidR="009F1353" w:rsidRPr="00FF293B" w:rsidRDefault="00896B19" w:rsidP="00896B19">
      <w:pPr>
        <w:pStyle w:val="Rubrik3"/>
      </w:pPr>
      <w:r>
        <w:t xml:space="preserve"> </w:t>
      </w:r>
      <w:r w:rsidR="009F1353" w:rsidRPr="00FF293B">
        <w:t>Avrop akut plats</w:t>
      </w:r>
    </w:p>
    <w:p w14:paraId="7777E4EB" w14:textId="77777777" w:rsidR="009F1353" w:rsidRPr="00FF293B" w:rsidRDefault="0055747D" w:rsidP="0055747D">
      <w:r w:rsidRPr="00FF293B">
        <w:t xml:space="preserve">Vid akut avropsbehov (för behov av vårdplats samma dag) behöver svar om vårdplats komma direkt vid förfrågan som sker dagtid. </w:t>
      </w:r>
    </w:p>
    <w:p w14:paraId="3CB605A0" w14:textId="529B4BDE" w:rsidR="0055747D" w:rsidRPr="00FF293B" w:rsidRDefault="00832225" w:rsidP="0055747D">
      <w:r>
        <w:t>Kan inte den L</w:t>
      </w:r>
      <w:r w:rsidR="0055747D" w:rsidRPr="00FF293B">
        <w:t>everantör som är högst rankad på listan erbjuda vårdplats på samma dag, går frågan vidare till n</w:t>
      </w:r>
      <w:r>
        <w:t>ästa L</w:t>
      </w:r>
      <w:r w:rsidR="0055747D" w:rsidRPr="00FF293B">
        <w:t>everantör i rangordningen.</w:t>
      </w:r>
    </w:p>
    <w:p w14:paraId="02C11450" w14:textId="75242DDE" w:rsidR="009F1353" w:rsidRDefault="009F1353" w:rsidP="00896B19">
      <w:pPr>
        <w:pStyle w:val="Rubrik3"/>
      </w:pPr>
      <w:r>
        <w:t>Avsteg från rangordningen</w:t>
      </w:r>
    </w:p>
    <w:p w14:paraId="311CA9FE" w14:textId="623E1539" w:rsidR="0055747D" w:rsidRPr="00D97498" w:rsidRDefault="0055747D" w:rsidP="0055747D">
      <w:r w:rsidRPr="00D97498">
        <w:t>Avsteg från rangordningen kan</w:t>
      </w:r>
      <w:r>
        <w:t xml:space="preserve"> </w:t>
      </w:r>
      <w:r w:rsidRPr="00D97498">
        <w:t xml:space="preserve">undantagsvis </w:t>
      </w:r>
      <w:r>
        <w:t>även komma att ske ex. om L</w:t>
      </w:r>
      <w:r w:rsidRPr="00D97498">
        <w:t>everantör</w:t>
      </w:r>
      <w:r>
        <w:t>en</w:t>
      </w:r>
      <w:r w:rsidRPr="00D97498">
        <w:t>:</w:t>
      </w:r>
    </w:p>
    <w:p w14:paraId="33B244EC" w14:textId="0BD0D6DD" w:rsidR="0055747D" w:rsidRPr="00876C93" w:rsidRDefault="00896B19" w:rsidP="00896B19">
      <w:pPr>
        <w:pStyle w:val="Liststycke"/>
        <w:numPr>
          <w:ilvl w:val="0"/>
          <w:numId w:val="10"/>
        </w:numPr>
      </w:pPr>
      <w:r>
        <w:t>E</w:t>
      </w:r>
      <w:r w:rsidR="0055747D" w:rsidRPr="00D97498">
        <w:t>nligt avropsordningen nyligen har anlitats med ett otil</w:t>
      </w:r>
      <w:r w:rsidR="0055747D">
        <w:t xml:space="preserve">lfredsställande resultat </w:t>
      </w:r>
      <w:r w:rsidR="0055747D" w:rsidRPr="00876C93">
        <w:t>vid tre olika tillfällen</w:t>
      </w:r>
      <w:r w:rsidR="00C360D2">
        <w:t xml:space="preserve"> exempelvis</w:t>
      </w:r>
      <w:r w:rsidR="0055747D" w:rsidRPr="00876C93">
        <w:t xml:space="preserve"> inte </w:t>
      </w:r>
      <w:r w:rsidR="00C360D2">
        <w:t xml:space="preserve">har </w:t>
      </w:r>
      <w:r w:rsidR="0055747D" w:rsidRPr="00876C93">
        <w:t>svarat på avropsförfrågan</w:t>
      </w:r>
    </w:p>
    <w:p w14:paraId="590AEECB" w14:textId="295FB0BB" w:rsidR="0055747D" w:rsidRDefault="009F1353" w:rsidP="00896B19">
      <w:pPr>
        <w:pStyle w:val="Liststycke"/>
        <w:numPr>
          <w:ilvl w:val="0"/>
          <w:numId w:val="10"/>
        </w:numPr>
      </w:pPr>
      <w:r>
        <w:t>I</w:t>
      </w:r>
      <w:r w:rsidR="0055747D" w:rsidRPr="00876C93">
        <w:t>nte kunnat placera vid förfrågan, utan förklarin</w:t>
      </w:r>
      <w:r w:rsidR="00BF5BEE">
        <w:t>g som B</w:t>
      </w:r>
      <w:r w:rsidR="0055747D">
        <w:t>eställaren kan acceptera</w:t>
      </w:r>
    </w:p>
    <w:p w14:paraId="79CF227B" w14:textId="1957E88B" w:rsidR="00F27A7C" w:rsidRPr="009F1353" w:rsidRDefault="00F27A7C" w:rsidP="00896B19">
      <w:pPr>
        <w:pStyle w:val="Liststycke"/>
        <w:numPr>
          <w:ilvl w:val="0"/>
          <w:numId w:val="10"/>
        </w:numPr>
      </w:pPr>
      <w:r w:rsidRPr="009F1353">
        <w:t xml:space="preserve">I vissa fall är det av olika skäl olämpligt att tilldela enligt rangordningen. I de fall kommer tilldelning istället att ske utifrån </w:t>
      </w:r>
      <w:r w:rsidR="00D711F0" w:rsidRPr="009F1353">
        <w:t>den enskildes</w:t>
      </w:r>
      <w:r w:rsidRPr="009F1353">
        <w:t xml:space="preserve"> specifika behov, det är Beställaren</w:t>
      </w:r>
      <w:r w:rsidR="009F1353">
        <w:t xml:space="preserve"> som </w:t>
      </w:r>
      <w:r w:rsidR="009F1353" w:rsidRPr="009F1353">
        <w:t>beslutar om avsteg ska ske</w:t>
      </w:r>
    </w:p>
    <w:p w14:paraId="7C612106" w14:textId="1949A312" w:rsidR="003F2E59" w:rsidRPr="007705BE" w:rsidRDefault="003F2E59" w:rsidP="00896B19">
      <w:pPr>
        <w:pStyle w:val="Rubrik2"/>
      </w:pPr>
      <w:r w:rsidRPr="007705BE">
        <w:t>Tillstånd att bedriva särskilt boende</w:t>
      </w:r>
    </w:p>
    <w:p w14:paraId="512D8B40" w14:textId="77777777" w:rsidR="002B5E81" w:rsidRPr="002B5E81" w:rsidRDefault="002B5E81" w:rsidP="002B5E81">
      <w:pPr>
        <w:rPr>
          <w:highlight w:val="yellow"/>
        </w:rPr>
      </w:pPr>
      <w:r w:rsidRPr="007705BE">
        <w:t xml:space="preserve">Verksamheten ska från och med avtalsstart och under hela avtalstiden ha ett godkänt tillstånd </w:t>
      </w:r>
      <w:r w:rsidRPr="007C0C20">
        <w:t>från Inspektionen för vård och omsorg (IVO) enligt 7 kap 1§ punkt 2 och 3 Socialtjänstlagen (SoL) 2018:1724 avseende verksamhet i form av boenden som motsvarar dem som avses i 5 kap. 5 § andra och tredje stycket eller 5 kap 7 § tredje stycket. Bevis för detta ska kunna lämnas på begäran.</w:t>
      </w:r>
    </w:p>
    <w:p w14:paraId="0D7790A3" w14:textId="3F45811E" w:rsidR="003F2E59" w:rsidRPr="007C0C20" w:rsidRDefault="003F2E59" w:rsidP="003F2E59">
      <w:r w:rsidRPr="007C0C20">
        <w:t xml:space="preserve">Upphandlingscenter förbehåller sig rätten att kontrollera och inhämta bevis för att de uppgifter </w:t>
      </w:r>
      <w:r w:rsidR="007B2615">
        <w:t>Leverantören</w:t>
      </w:r>
      <w:r w:rsidRPr="007C0C20">
        <w:t xml:space="preserve"> lämnat är korrekta</w:t>
      </w:r>
      <w:r w:rsidR="002B5E81" w:rsidRPr="007C0C20">
        <w:t>.</w:t>
      </w:r>
    </w:p>
    <w:p w14:paraId="2F033997" w14:textId="54615E5F" w:rsidR="002B5E81" w:rsidRPr="007C0C20" w:rsidRDefault="002B5E81" w:rsidP="008A61FD">
      <w:pPr>
        <w:pStyle w:val="Rubrik3"/>
      </w:pPr>
      <w:r w:rsidRPr="007C0C20">
        <w:t>Anmälan till vårdgivarregistret</w:t>
      </w:r>
    </w:p>
    <w:p w14:paraId="3E3329E0" w14:textId="77777777" w:rsidR="002B5E81" w:rsidRPr="007C0C20" w:rsidRDefault="002B5E81" w:rsidP="002B5E81">
      <w:r w:rsidRPr="007C0C20">
        <w:t>Verksamheten ska under hela avtalstiden vara anmäld som vårdverksamhet vård och omsorgsboende till Vårdgivarregistret hos IVO för att kunna bedriva hälso- och sjukvård enligt Hälso- och Sjukvårdslagen 2017:30.</w:t>
      </w:r>
    </w:p>
    <w:p w14:paraId="366E4A5D" w14:textId="0AE8C470" w:rsidR="002B5E81" w:rsidRPr="007C0C20" w:rsidRDefault="002B5E81" w:rsidP="002B5E81">
      <w:r w:rsidRPr="007C0C20">
        <w:t xml:space="preserve">Upphandlingscenter förbehåller sig rätten att kontrollera och inhämta bevis för att de uppgifter </w:t>
      </w:r>
      <w:r w:rsidR="007B2615">
        <w:t>Leverantören</w:t>
      </w:r>
      <w:r w:rsidRPr="007C0C20">
        <w:t xml:space="preserve"> lämnat är korrekta.</w:t>
      </w:r>
    </w:p>
    <w:p w14:paraId="2DA4E505" w14:textId="5E4C8B8A" w:rsidR="004C01A1" w:rsidRDefault="004C01A1" w:rsidP="00896B19">
      <w:pPr>
        <w:pStyle w:val="Rubrik2"/>
      </w:pPr>
      <w:r>
        <w:t xml:space="preserve">Dokumentation </w:t>
      </w:r>
    </w:p>
    <w:p w14:paraId="29F2B36E" w14:textId="499362CE" w:rsidR="004C01A1" w:rsidRPr="007705BE" w:rsidRDefault="004C01A1" w:rsidP="004C01A1">
      <w:r w:rsidRPr="007705BE">
        <w:t>Leverantören ska upprätthålla dokumentation om tjänsten. Dokumentationen ska vara på svenska om inte något annat har avtalats</w:t>
      </w:r>
      <w:r w:rsidR="007705BE" w:rsidRPr="007705BE">
        <w:t>, se mer information i bilaga Kravspecifikation</w:t>
      </w:r>
      <w:r w:rsidRPr="007705BE">
        <w:t>.</w:t>
      </w:r>
    </w:p>
    <w:p w14:paraId="3A55AD48" w14:textId="77777777" w:rsidR="004C01A1" w:rsidRPr="00E83728" w:rsidRDefault="004C01A1" w:rsidP="008A61FD">
      <w:r w:rsidRPr="007705BE">
        <w:t>Leverantören ska då avtalet löper ut, på begäran, överlämna samtlig dokumentation som rör den enskilde till Beställaren.</w:t>
      </w:r>
      <w:r w:rsidRPr="00E83728">
        <w:t xml:space="preserve"> </w:t>
      </w:r>
    </w:p>
    <w:p w14:paraId="0F756DAD" w14:textId="77777777" w:rsidR="00D644DE" w:rsidRDefault="00D644DE" w:rsidP="00896B19">
      <w:pPr>
        <w:pStyle w:val="Rubrik2"/>
      </w:pPr>
      <w:r>
        <w:lastRenderedPageBreak/>
        <w:t>Anställda hos Leverantören</w:t>
      </w:r>
    </w:p>
    <w:p w14:paraId="26FD4CF5" w14:textId="68FD1A15" w:rsidR="0045352A" w:rsidRDefault="00D644DE" w:rsidP="00470DD0">
      <w:r w:rsidRPr="00470DD0">
        <w:t>Anställd personal ska kunna kommunicera på svenska i tal och skrift</w:t>
      </w:r>
      <w:r w:rsidR="000E2862">
        <w:t xml:space="preserve"> se bilaga Kravspecifikation</w:t>
      </w:r>
      <w:r w:rsidR="00470DD0" w:rsidRPr="00470DD0">
        <w:t xml:space="preserve">. </w:t>
      </w:r>
    </w:p>
    <w:p w14:paraId="49E54E89" w14:textId="77777777" w:rsidR="00AB222C" w:rsidRPr="00AB222C" w:rsidRDefault="00AB222C" w:rsidP="00AB222C">
      <w:pPr>
        <w:rPr>
          <w:u w:val="single"/>
        </w:rPr>
      </w:pPr>
      <w:r w:rsidRPr="00AB222C">
        <w:rPr>
          <w:u w:val="single"/>
        </w:rPr>
        <w:t>Utbyte av personal</w:t>
      </w:r>
    </w:p>
    <w:p w14:paraId="7D02AB9E" w14:textId="77777777" w:rsidR="00AB222C" w:rsidRPr="00AB222C" w:rsidRDefault="00AB222C" w:rsidP="00AB222C">
      <w:r w:rsidRPr="00AB222C">
        <w:t xml:space="preserve">Eventuella förändringar i avtalad personalstyrka ska omedelbart meddelas till Beställaren. Överenskommelse om byte av eller annan förändring av avtalade personer, ska vara skriftligen godkänd av Beställaren. </w:t>
      </w:r>
    </w:p>
    <w:p w14:paraId="0847F94B" w14:textId="19D0C867" w:rsidR="00AB222C" w:rsidRDefault="00AB222C" w:rsidP="00470DD0">
      <w:r w:rsidRPr="00AB222C">
        <w:t>Eventuellt tillkommande personer under avtalstiden ska uppfylla de kompetenskrav som ställdes i upphandlingsdokumenten vilket ska redovisas till Beställaren på begäran.</w:t>
      </w:r>
    </w:p>
    <w:p w14:paraId="7D24F164" w14:textId="77777777" w:rsidR="002F4D5B" w:rsidRPr="002F4D5B" w:rsidRDefault="002F4D5B" w:rsidP="002F4D5B">
      <w:pPr>
        <w:pStyle w:val="Rubrik2"/>
      </w:pPr>
      <w:r w:rsidRPr="002F4D5B">
        <w:t>Volym</w:t>
      </w:r>
    </w:p>
    <w:p w14:paraId="0D4D8EA1" w14:textId="3D169DB0" w:rsidR="002F4D5B" w:rsidRDefault="002F4D5B" w:rsidP="002F4D5B">
      <w:r w:rsidRPr="002F4D5B">
        <w:t>Volymuppgifter som anges baseras på tillgänglig statistik och uppskattning och kan därför komma att såväl över- som underskridas. Leverantören ska leverera det faktiska behovet.</w:t>
      </w:r>
    </w:p>
    <w:p w14:paraId="27AC4447" w14:textId="42FAA870" w:rsidR="00C0263B" w:rsidRDefault="00C0263B" w:rsidP="00C0263B">
      <w:pPr>
        <w:pStyle w:val="Rubrik3"/>
      </w:pPr>
      <w:r>
        <w:t>Takvolym</w:t>
      </w:r>
    </w:p>
    <w:p w14:paraId="3E1F2ACC" w14:textId="114D5536" w:rsidR="00D804C9" w:rsidRPr="00D804C9" w:rsidRDefault="00D804C9" w:rsidP="00D804C9">
      <w:pPr>
        <w:pStyle w:val="Rubrik5"/>
        <w:rPr>
          <w:rFonts w:ascii="Garamond" w:eastAsia="Times New Roman" w:hAnsi="Garamond"/>
          <w:color w:val="auto"/>
          <w:szCs w:val="24"/>
        </w:rPr>
      </w:pPr>
      <w:r w:rsidRPr="00D804C9">
        <w:rPr>
          <w:rFonts w:ascii="Garamond" w:eastAsia="Times New Roman" w:hAnsi="Garamond"/>
          <w:color w:val="auto"/>
          <w:szCs w:val="24"/>
        </w:rPr>
        <w:t>Totalt kan tjänster till ett värde av maximalt 75 000 000</w:t>
      </w:r>
      <w:r w:rsidRPr="00800F7B">
        <w:t xml:space="preserve"> </w:t>
      </w:r>
      <w:r w:rsidRPr="00D804C9">
        <w:rPr>
          <w:rFonts w:ascii="Garamond" w:eastAsia="Times New Roman" w:hAnsi="Garamond"/>
          <w:color w:val="auto"/>
          <w:szCs w:val="24"/>
        </w:rPr>
        <w:t>SEK avropas under avtalstiden. Taket</w:t>
      </w:r>
    </w:p>
    <w:p w14:paraId="4CB99E4A" w14:textId="77777777" w:rsidR="00D804C9" w:rsidRPr="00D804C9" w:rsidRDefault="00D804C9" w:rsidP="00D804C9">
      <w:pPr>
        <w:pStyle w:val="Rubrik5"/>
        <w:rPr>
          <w:rFonts w:ascii="Garamond" w:eastAsia="Times New Roman" w:hAnsi="Garamond"/>
          <w:color w:val="auto"/>
          <w:szCs w:val="24"/>
        </w:rPr>
      </w:pPr>
      <w:r w:rsidRPr="00D804C9">
        <w:rPr>
          <w:rFonts w:ascii="Garamond" w:eastAsia="Times New Roman" w:hAnsi="Garamond"/>
          <w:color w:val="auto"/>
          <w:szCs w:val="24"/>
        </w:rPr>
        <w:t>gäller för ramavtalet som helhet, inte för respektive delområde eller ramavtalsleverantör.</w:t>
      </w:r>
    </w:p>
    <w:p w14:paraId="73656F5B" w14:textId="77777777" w:rsidR="002F4D5B" w:rsidRPr="002F4D5B" w:rsidRDefault="002F4D5B" w:rsidP="00470AD5">
      <w:pPr>
        <w:pStyle w:val="Rubrik2"/>
      </w:pPr>
      <w:r w:rsidRPr="002F4D5B">
        <w:t>Avtalshandlingarnas inbördes rangordning</w:t>
      </w:r>
    </w:p>
    <w:p w14:paraId="156DF118" w14:textId="77777777" w:rsidR="002F4D5B" w:rsidRPr="002F4D5B" w:rsidRDefault="002F4D5B" w:rsidP="002F4D5B">
      <w:r w:rsidRPr="002F4D5B">
        <w:t xml:space="preserve">Avtalshandlingarna kompletterar varandra. Om dessa handlingar skulle visa sig vara motsägelsefulla i något avseende gäller de i följande ordning: </w:t>
      </w:r>
    </w:p>
    <w:p w14:paraId="2A0293C4" w14:textId="2204DBFF" w:rsidR="002F4D5B" w:rsidRPr="002F4D5B" w:rsidRDefault="007A62D3" w:rsidP="00283310">
      <w:pPr>
        <w:numPr>
          <w:ilvl w:val="0"/>
          <w:numId w:val="3"/>
        </w:numPr>
        <w:spacing w:before="120"/>
        <w:contextualSpacing/>
      </w:pPr>
      <w:r>
        <w:t>S</w:t>
      </w:r>
      <w:r w:rsidR="002F4D5B" w:rsidRPr="002F4D5B">
        <w:t>kriftliga ändr</w:t>
      </w:r>
      <w:r>
        <w:t>ingar och tillägg till avtalet</w:t>
      </w:r>
    </w:p>
    <w:p w14:paraId="3FEB98B3" w14:textId="589F2C21" w:rsidR="002F4D5B" w:rsidRPr="002F4D5B" w:rsidRDefault="007A62D3" w:rsidP="00283310">
      <w:pPr>
        <w:numPr>
          <w:ilvl w:val="0"/>
          <w:numId w:val="3"/>
        </w:numPr>
        <w:spacing w:before="120"/>
        <w:contextualSpacing/>
      </w:pPr>
      <w:r>
        <w:t>A</w:t>
      </w:r>
      <w:r w:rsidR="002F4D5B" w:rsidRPr="002F4D5B">
        <w:t>vtal med bilagor</w:t>
      </w:r>
      <w:r w:rsidR="002F4D5B" w:rsidRPr="002F4D5B">
        <w:tab/>
      </w:r>
    </w:p>
    <w:p w14:paraId="4C4DE457" w14:textId="1F5B1E38" w:rsidR="002F4D5B" w:rsidRPr="002F4D5B" w:rsidRDefault="007A62D3" w:rsidP="00283310">
      <w:pPr>
        <w:numPr>
          <w:ilvl w:val="0"/>
          <w:numId w:val="3"/>
        </w:numPr>
        <w:spacing w:before="120"/>
        <w:contextualSpacing/>
      </w:pPr>
      <w:r>
        <w:t>E</w:t>
      </w:r>
      <w:r w:rsidR="002F4D5B" w:rsidRPr="002F4D5B">
        <w:t xml:space="preserve">ventuellt kompletterat </w:t>
      </w:r>
      <w:r w:rsidR="003922EA">
        <w:t>upphandlingsdokument</w:t>
      </w:r>
    </w:p>
    <w:p w14:paraId="633DCB39" w14:textId="4E3CE2D5" w:rsidR="002F4D5B" w:rsidRPr="002F4D5B" w:rsidRDefault="007A62D3" w:rsidP="00283310">
      <w:pPr>
        <w:numPr>
          <w:ilvl w:val="0"/>
          <w:numId w:val="3"/>
        </w:numPr>
        <w:spacing w:before="120"/>
        <w:contextualSpacing/>
      </w:pPr>
      <w:r>
        <w:t>U</w:t>
      </w:r>
      <w:r w:rsidR="003922EA">
        <w:t>pphandlingsdokument</w:t>
      </w:r>
      <w:r>
        <w:t xml:space="preserve"> med bilagor</w:t>
      </w:r>
    </w:p>
    <w:p w14:paraId="54AA3FF1" w14:textId="34C36995" w:rsidR="002F4D5B" w:rsidRPr="002F4D5B" w:rsidRDefault="002F4D5B" w:rsidP="00283310">
      <w:pPr>
        <w:numPr>
          <w:ilvl w:val="0"/>
          <w:numId w:val="3"/>
        </w:numPr>
        <w:spacing w:before="120"/>
        <w:contextualSpacing/>
      </w:pPr>
      <w:r w:rsidRPr="002F4D5B">
        <w:t>Leverantörens ev</w:t>
      </w:r>
      <w:r w:rsidR="007A62D3">
        <w:t>entuella förtydligande av anbud</w:t>
      </w:r>
      <w:r w:rsidRPr="002F4D5B">
        <w:t xml:space="preserve"> </w:t>
      </w:r>
    </w:p>
    <w:p w14:paraId="2263F285" w14:textId="4DF6A628" w:rsidR="002F4D5B" w:rsidRPr="002F4D5B" w:rsidRDefault="002F4D5B" w:rsidP="00283310">
      <w:pPr>
        <w:numPr>
          <w:ilvl w:val="0"/>
          <w:numId w:val="3"/>
        </w:numPr>
        <w:spacing w:before="120"/>
        <w:contextualSpacing/>
      </w:pPr>
      <w:r w:rsidRPr="002F4D5B">
        <w:t>L</w:t>
      </w:r>
      <w:r w:rsidR="007A62D3">
        <w:t>everantörens anbud med bilagor</w:t>
      </w:r>
    </w:p>
    <w:p w14:paraId="27A40A2F" w14:textId="77777777" w:rsidR="002F4D5B" w:rsidRPr="002F4D5B" w:rsidRDefault="002F4D5B" w:rsidP="00470AD5">
      <w:pPr>
        <w:pStyle w:val="Rubrik2"/>
        <w:rPr>
          <w:noProof/>
        </w:rPr>
      </w:pPr>
      <w:r w:rsidRPr="002F4D5B">
        <w:rPr>
          <w:noProof/>
        </w:rPr>
        <w:t xml:space="preserve">Ändringsbegäran via </w:t>
      </w:r>
      <w:r w:rsidR="007660A1">
        <w:rPr>
          <w:noProof/>
        </w:rPr>
        <w:t>e-a</w:t>
      </w:r>
      <w:r w:rsidR="00DF1D3E">
        <w:rPr>
          <w:noProof/>
        </w:rPr>
        <w:t>vrop</w:t>
      </w:r>
    </w:p>
    <w:p w14:paraId="5B2780EB" w14:textId="28715218" w:rsidR="002F4D5B" w:rsidRDefault="002F4D5B" w:rsidP="002F4D5B">
      <w:r w:rsidRPr="002F4D5B">
        <w:t xml:space="preserve">Funktionen ändringsbegäran på avtalets sida på </w:t>
      </w:r>
      <w:hyperlink r:id="rId14" w:history="1">
        <w:r w:rsidR="007660A1">
          <w:rPr>
            <w:color w:val="0563C1" w:themeColor="hyperlink"/>
            <w:u w:val="single"/>
          </w:rPr>
          <w:t>e-a</w:t>
        </w:r>
        <w:r w:rsidR="00DF1D3E">
          <w:rPr>
            <w:color w:val="0563C1" w:themeColor="hyperlink"/>
            <w:u w:val="single"/>
          </w:rPr>
          <w:t>vrop</w:t>
        </w:r>
        <w:r w:rsidRPr="002F4D5B">
          <w:rPr>
            <w:color w:val="0563C1" w:themeColor="hyperlink"/>
            <w:u w:val="single"/>
          </w:rPr>
          <w:t>.com</w:t>
        </w:r>
      </w:hyperlink>
      <w:r w:rsidRPr="002F4D5B">
        <w:t xml:space="preserve"> ska användas då Leverantören önskar ändra eller uppdatera text avseende avtalet. Detta gäller uppdatering av kontaktuppgifter samt prisjustering.</w:t>
      </w:r>
    </w:p>
    <w:p w14:paraId="15899B07" w14:textId="09831301" w:rsidR="002F4D5B" w:rsidRPr="00B71A7F" w:rsidRDefault="002F4D5B" w:rsidP="00470AD5">
      <w:pPr>
        <w:pStyle w:val="Rubrik2"/>
      </w:pPr>
      <w:r w:rsidRPr="00B71A7F">
        <w:t>Sekr</w:t>
      </w:r>
      <w:r w:rsidRPr="00B71A7F">
        <w:rPr>
          <w:rStyle w:val="Rubrik2Char"/>
          <w:b/>
        </w:rPr>
        <w:t>e</w:t>
      </w:r>
      <w:r w:rsidRPr="00B71A7F">
        <w:t>tess</w:t>
      </w:r>
    </w:p>
    <w:p w14:paraId="7F6AD5DF" w14:textId="498A6074" w:rsidR="00930B6D" w:rsidRDefault="00930B6D" w:rsidP="00930B6D">
      <w:r>
        <w:t>I Socialtjänstlagen framgår att de som är eller har varit verksam i Leverantörens verksamhet inte får röja till obehöriga vad man har fått veta om Personens specifika förhållanden. Leverantören ska ha rutiner för sekretessen i verksamheten och för dess anställda.</w:t>
      </w:r>
    </w:p>
    <w:p w14:paraId="409BC03A" w14:textId="53CA6E68" w:rsidR="00930B6D" w:rsidRDefault="00930B6D" w:rsidP="00930B6D">
      <w:r>
        <w:t xml:space="preserve">Leverantören är skyldig att iaktta tillämpliga delar av offentlighets- och sekretesslagen (OSL 2009:400). Parterna förbinder sig att inte röja eller på något sätt utnyttja enligt lag sekretessbelagd uppgift eller personliga förhållanden till den boende som part får del av genom tillkomsten eller </w:t>
      </w:r>
      <w:r>
        <w:lastRenderedPageBreak/>
        <w:t>genomförande av detta ramavtal. Skyldighet att inte röja uppgift gäller inte när part är skyldig enligt lag eller annan författning att lämna ut uppgifter.</w:t>
      </w:r>
    </w:p>
    <w:p w14:paraId="3892EBC2" w14:textId="77777777" w:rsidR="00612285" w:rsidRDefault="00612285" w:rsidP="00612285">
      <w:r>
        <w:t>Leverantören ansvarar för sina handlingar som rör personen så att de förvaras på ett sådant sätt att obehöriga inte får tillgång till dem.</w:t>
      </w:r>
      <w:r w:rsidRPr="00612285">
        <w:t xml:space="preserve"> </w:t>
      </w:r>
    </w:p>
    <w:p w14:paraId="322A406C" w14:textId="02F3A863" w:rsidR="00930B6D" w:rsidRDefault="00930B6D" w:rsidP="00930B6D">
      <w:r>
        <w:t>Leverantören åtar sig därvid och ansvarar för att samtliga medarbetare Leverantören sysselsätter med uppdrag enligt detta ramavtal samt eventuella underleverantörer har gjorts uppmärksammad på gällande relevanta bestämmelser om sekretess enligt detta ramavtal samt vad som i övrigt följer av lag eller föreskrift avseende sekretess. Sekretess enligt denna punkt gäller även det efter att ramavtalet i övrigt upphört att gälla. När det gäller uppgifter som är sekretessbelagda enligt lag gäller sekretessen under den tid som anges i lagen.</w:t>
      </w:r>
    </w:p>
    <w:p w14:paraId="20C2A23A" w14:textId="77777777" w:rsidR="00612285" w:rsidRPr="002F4D5B" w:rsidRDefault="00612285" w:rsidP="00612285">
      <w:r w:rsidRPr="002F4D5B">
        <w:t>Leverantörens personal eller underleverantörer ska beakta kraven på personlig integritet och beakta att all information som erhålls vid utförande av arbete ska behandlas konfidentiellt.</w:t>
      </w:r>
    </w:p>
    <w:p w14:paraId="626AF5CE" w14:textId="77777777" w:rsidR="00612285" w:rsidRDefault="00612285" w:rsidP="00612285">
      <w:r w:rsidRPr="002F4D5B">
        <w:t>Leverantören förbinder sig att inte röja eller utnyttja Beställarens uppgifter, vad det än må vara (person-, ekonomiska, kommersiella uppgifter etc.), som kan komma Leverantören till kännedom.</w:t>
      </w:r>
    </w:p>
    <w:p w14:paraId="173616E1" w14:textId="11187F65" w:rsidR="00612285" w:rsidRDefault="00930B6D" w:rsidP="00612285">
      <w:r>
        <w:t>Oavsett om skriftlig sekretessförbindelse upprättats eller inte, så har Leverantören ansvaret att sekretessen efterlevs.</w:t>
      </w:r>
      <w:r w:rsidR="00612285" w:rsidRPr="00612285">
        <w:t xml:space="preserve"> </w:t>
      </w:r>
      <w:r w:rsidR="00612285" w:rsidRPr="002F4D5B">
        <w:t>Leverantören förbinder sig att göra de medarbetare som kommer att sysselsättas med uppdraget uppmärksamma på gällande bestämmelser rörande sekretess, samt även i övrigt hantera uppdraget med den diskretion som är nödvändig.</w:t>
      </w:r>
    </w:p>
    <w:p w14:paraId="09643EE8" w14:textId="77777777" w:rsidR="002F4D5B" w:rsidRPr="002F4D5B" w:rsidRDefault="002F4D5B" w:rsidP="00470AD5">
      <w:pPr>
        <w:pStyle w:val="Rubrik2"/>
      </w:pPr>
      <w:r w:rsidRPr="002F4D5B">
        <w:t>Varumärke och immateriell rätt</w:t>
      </w:r>
    </w:p>
    <w:p w14:paraId="65CDF9C9" w14:textId="77777777" w:rsidR="002F4D5B" w:rsidRPr="002D4355" w:rsidRDefault="002F4D5B" w:rsidP="002F4D5B">
      <w:r w:rsidRPr="002F4D5B">
        <w:t xml:space="preserve">Hänvisning till Beställaren i reklam, marknadsföring eller på annat sätt får inte göras av Leverantören eller av denne anlitad underleverantör utan Beställarens i förväg inhämtade </w:t>
      </w:r>
      <w:r w:rsidRPr="002D4355">
        <w:t>skriftliga medgivande. Leverantören ska i förväg samråda med Beställaren avseende informationsmaterial som ska publiceras.</w:t>
      </w:r>
    </w:p>
    <w:p w14:paraId="0ED060EA" w14:textId="4F288D20" w:rsidR="005D7F28" w:rsidRPr="002D4355" w:rsidRDefault="001B4D09" w:rsidP="005D7F28">
      <w:pPr>
        <w:pStyle w:val="Rubrik2"/>
      </w:pPr>
      <w:r w:rsidRPr="002D4355">
        <w:t xml:space="preserve">Jämställdhet, Sociala och etiska krav </w:t>
      </w:r>
    </w:p>
    <w:p w14:paraId="6F32578C" w14:textId="02ACE3A9" w:rsidR="001B4D09" w:rsidRPr="002D4355" w:rsidRDefault="001B4D09" w:rsidP="001B4D09">
      <w:r w:rsidRPr="002D4355">
        <w:t>Leverantören ska respektera grundläggande sociala- och etiska krav i sin verksamhet. Leverantören får inte diskvalificera någon på grund av kön, etnicitet</w:t>
      </w:r>
      <w:r w:rsidR="005A6844">
        <w:t xml:space="preserve"> </w:t>
      </w:r>
      <w:r w:rsidRPr="002D4355">
        <w:t>eller sexuell läggning eller av sådana skäl otillbörligt särbehandla arbetstagare eller arbetssökande.</w:t>
      </w:r>
    </w:p>
    <w:p w14:paraId="2207E808" w14:textId="77777777" w:rsidR="001B4D09" w:rsidRPr="001B4D09" w:rsidRDefault="001B4D09" w:rsidP="001B4D09">
      <w:r w:rsidRPr="002D4355">
        <w:t>Leverantören ska aktivt arbeta med värdegrundsfrågor samt jämställdhetsfrågor.</w:t>
      </w:r>
    </w:p>
    <w:p w14:paraId="2DE60F66" w14:textId="77777777" w:rsidR="002F4D5B" w:rsidRPr="004A5AAB" w:rsidRDefault="002F4D5B" w:rsidP="00470AD5">
      <w:pPr>
        <w:pStyle w:val="Rubrik1"/>
        <w:framePr w:wrap="notBeside"/>
      </w:pPr>
      <w:r w:rsidRPr="004A5AAB">
        <w:t>Kommersiella villkor</w:t>
      </w:r>
    </w:p>
    <w:p w14:paraId="6DE97838" w14:textId="35766E0D" w:rsidR="002F4D5B" w:rsidRPr="004A5AAB" w:rsidRDefault="002F4D5B" w:rsidP="00470AD5">
      <w:pPr>
        <w:pStyle w:val="Rubrik2"/>
      </w:pPr>
      <w:r w:rsidRPr="004A5AAB">
        <w:t xml:space="preserve">Pris </w:t>
      </w:r>
      <w:r w:rsidR="00EC04B6" w:rsidRPr="004A5AAB">
        <w:t xml:space="preserve"> </w:t>
      </w:r>
    </w:p>
    <w:p w14:paraId="30B5F714" w14:textId="26798E0F" w:rsidR="002F4D5B" w:rsidRPr="002F4D5B" w:rsidRDefault="002F4D5B" w:rsidP="002F4D5B">
      <w:pPr>
        <w:rPr>
          <w:rFonts w:eastAsia="Calibri" w:cs="Times New Roman"/>
          <w:szCs w:val="24"/>
        </w:rPr>
      </w:pPr>
      <w:r w:rsidRPr="002F4D5B">
        <w:rPr>
          <w:rFonts w:eastAsia="Calibri" w:cs="Times New Roman"/>
          <w:szCs w:val="24"/>
        </w:rPr>
        <w:t>Priser i SEK</w:t>
      </w:r>
      <w:r w:rsidR="00EC04B6">
        <w:rPr>
          <w:rFonts w:eastAsia="Calibri" w:cs="Times New Roman"/>
          <w:szCs w:val="24"/>
        </w:rPr>
        <w:t xml:space="preserve"> enligt Leverantörens </w:t>
      </w:r>
      <w:r w:rsidR="009B6BBA">
        <w:rPr>
          <w:rFonts w:eastAsia="Calibri" w:cs="Times New Roman"/>
          <w:szCs w:val="24"/>
        </w:rPr>
        <w:t xml:space="preserve">prislista, </w:t>
      </w:r>
      <w:r w:rsidR="00A84ED8">
        <w:rPr>
          <w:rFonts w:eastAsia="Calibri" w:cs="Times New Roman"/>
          <w:szCs w:val="24"/>
        </w:rPr>
        <w:t>vårdplats</w:t>
      </w:r>
      <w:r w:rsidR="007C23CC">
        <w:rPr>
          <w:rFonts w:eastAsia="Calibri" w:cs="Times New Roman"/>
          <w:szCs w:val="24"/>
        </w:rPr>
        <w:t>kostnad</w:t>
      </w:r>
      <w:r w:rsidR="004A5AAB">
        <w:rPr>
          <w:rFonts w:eastAsia="Calibri" w:cs="Times New Roman"/>
          <w:szCs w:val="24"/>
        </w:rPr>
        <w:t>/dygn</w:t>
      </w:r>
      <w:r w:rsidR="00EC04B6">
        <w:rPr>
          <w:rFonts w:eastAsia="Calibri" w:cs="Times New Roman"/>
          <w:szCs w:val="24"/>
        </w:rPr>
        <w:t>.</w:t>
      </w:r>
      <w:r w:rsidRPr="002F4D5B">
        <w:rPr>
          <w:rFonts w:eastAsia="Calibri" w:cs="Times New Roman"/>
          <w:szCs w:val="24"/>
        </w:rPr>
        <w:t xml:space="preserve"> </w:t>
      </w:r>
      <w:r w:rsidR="001A2ACF">
        <w:rPr>
          <w:rFonts w:eastAsia="Calibri" w:cs="Times New Roman"/>
          <w:szCs w:val="24"/>
        </w:rPr>
        <w:t>Den verksamhet som upphandlas är enligt gällande momslagstiftning att betrakta som social verksamhet och är därmed inte momspliktig.</w:t>
      </w:r>
    </w:p>
    <w:p w14:paraId="5970EE3B" w14:textId="3E738426" w:rsidR="001A2ACF" w:rsidRPr="001644C9" w:rsidRDefault="000A0BC3" w:rsidP="001A2ACF">
      <w:pPr>
        <w:rPr>
          <w:rFonts w:eastAsia="Calibri" w:cs="Times New Roman"/>
          <w:szCs w:val="24"/>
        </w:rPr>
      </w:pPr>
      <w:r>
        <w:rPr>
          <w:rFonts w:eastAsia="Calibri" w:cs="Times New Roman"/>
          <w:szCs w:val="24"/>
        </w:rPr>
        <w:t>Priset</w:t>
      </w:r>
      <w:r w:rsidR="003071E2">
        <w:rPr>
          <w:rFonts w:eastAsia="Calibri" w:cs="Times New Roman"/>
          <w:szCs w:val="24"/>
        </w:rPr>
        <w:t xml:space="preserve"> ska inkludera samtliga kostnader förenade med tjänsten</w:t>
      </w:r>
      <w:r w:rsidR="002F4D5B" w:rsidRPr="002F4D5B">
        <w:rPr>
          <w:rFonts w:eastAsia="Calibri" w:cs="Times New Roman"/>
          <w:szCs w:val="24"/>
        </w:rPr>
        <w:t>. Inga resekostnader</w:t>
      </w:r>
      <w:r w:rsidR="008744B8">
        <w:rPr>
          <w:rFonts w:eastAsia="Calibri" w:cs="Times New Roman"/>
          <w:szCs w:val="24"/>
        </w:rPr>
        <w:t xml:space="preserve">, </w:t>
      </w:r>
      <w:r w:rsidR="008B4E7F">
        <w:rPr>
          <w:rFonts w:eastAsia="Calibri" w:cs="Times New Roman"/>
          <w:szCs w:val="24"/>
        </w:rPr>
        <w:t xml:space="preserve">övernattningskostnader, </w:t>
      </w:r>
      <w:r w:rsidR="008744B8">
        <w:rPr>
          <w:rFonts w:eastAsia="Calibri" w:cs="Times New Roman"/>
          <w:szCs w:val="24"/>
        </w:rPr>
        <w:t>traktamenten, övertidsersättningar</w:t>
      </w:r>
      <w:r w:rsidR="002F4D5B" w:rsidRPr="002F4D5B">
        <w:rPr>
          <w:rFonts w:eastAsia="Calibri" w:cs="Times New Roman"/>
          <w:szCs w:val="24"/>
        </w:rPr>
        <w:t xml:space="preserve"> eller andra tillkommande kostnader</w:t>
      </w:r>
      <w:r w:rsidR="008B4E7F">
        <w:rPr>
          <w:rFonts w:eastAsia="Calibri" w:cs="Times New Roman"/>
          <w:szCs w:val="24"/>
        </w:rPr>
        <w:t xml:space="preserve"> </w:t>
      </w:r>
      <w:r w:rsidR="008B4E7F" w:rsidRPr="001644C9">
        <w:rPr>
          <w:rFonts w:eastAsia="Calibri" w:cs="Times New Roman"/>
          <w:szCs w:val="24"/>
        </w:rPr>
        <w:lastRenderedPageBreak/>
        <w:t xml:space="preserve">såsom exempelvis utrustning, </w:t>
      </w:r>
      <w:r w:rsidR="001A2ACF" w:rsidRPr="001644C9">
        <w:rPr>
          <w:rFonts w:eastAsia="Calibri" w:cs="Times New Roman"/>
          <w:szCs w:val="24"/>
        </w:rPr>
        <w:t>specialkost, förbrukningsmaterial, kostnader för brandlarm, trygghetslarm, nycklar, tolkar eller liknande medges.</w:t>
      </w:r>
    </w:p>
    <w:p w14:paraId="6C6BF233" w14:textId="05145324" w:rsidR="004A5AAB" w:rsidRPr="00C246D5" w:rsidRDefault="004A5AAB" w:rsidP="004A5AAB">
      <w:pPr>
        <w:pStyle w:val="Rubrik2"/>
        <w:numPr>
          <w:ilvl w:val="0"/>
          <w:numId w:val="0"/>
        </w:numPr>
        <w:ind w:left="576" w:hanging="576"/>
      </w:pPr>
      <w:r w:rsidRPr="00C246D5">
        <w:t xml:space="preserve">2.1.1 </w:t>
      </w:r>
      <w:r w:rsidR="001644C9" w:rsidRPr="00C246D5">
        <w:t>I</w:t>
      </w:r>
      <w:r w:rsidRPr="00C246D5">
        <w:t xml:space="preserve">ngår ej priset  </w:t>
      </w:r>
    </w:p>
    <w:p w14:paraId="19627F12" w14:textId="7E218555" w:rsidR="00C22BCB" w:rsidRPr="00C246D5" w:rsidRDefault="00C22BCB" w:rsidP="00283310">
      <w:pPr>
        <w:pStyle w:val="Liststycke"/>
        <w:numPr>
          <w:ilvl w:val="0"/>
          <w:numId w:val="18"/>
        </w:numPr>
      </w:pPr>
      <w:r w:rsidRPr="00C246D5">
        <w:t xml:space="preserve">Leverantören har utöver prislistan/dygnspris rätt till ersättning för individuellt förskrivna medicintekniska produkter och hjälpmedel som </w:t>
      </w:r>
      <w:r w:rsidR="004A5AAB" w:rsidRPr="00C246D5">
        <w:t xml:space="preserve">den enskilde </w:t>
      </w:r>
      <w:r w:rsidR="007C0C20" w:rsidRPr="00C246D5">
        <w:t>har behov av</w:t>
      </w:r>
      <w:r w:rsidR="00C156CA" w:rsidRPr="00C246D5">
        <w:t xml:space="preserve"> och kommunen har godkänt</w:t>
      </w:r>
    </w:p>
    <w:p w14:paraId="4E6B709B" w14:textId="10B94AEC" w:rsidR="007C0C20" w:rsidRPr="007C0C20" w:rsidRDefault="007C0C20" w:rsidP="00283310">
      <w:pPr>
        <w:pStyle w:val="eAvropBrd"/>
        <w:numPr>
          <w:ilvl w:val="0"/>
          <w:numId w:val="18"/>
        </w:numPr>
        <w:rPr>
          <w:rFonts w:ascii="Garamond" w:hAnsi="Garamond"/>
          <w:sz w:val="24"/>
        </w:rPr>
      </w:pPr>
      <w:r w:rsidRPr="007C0C20">
        <w:rPr>
          <w:rFonts w:ascii="Garamond" w:hAnsi="Garamond"/>
          <w:sz w:val="24"/>
        </w:rPr>
        <w:t>Den enskilde har själv ansvar för sina personliga omkostnader, personlig utrustning och transporter vid planerad frånvaro</w:t>
      </w:r>
    </w:p>
    <w:p w14:paraId="594ADEE8" w14:textId="77777777" w:rsidR="00117723" w:rsidRPr="00D40E19" w:rsidRDefault="00117723" w:rsidP="00117723">
      <w:pPr>
        <w:pStyle w:val="Rubrik2"/>
        <w:numPr>
          <w:ilvl w:val="0"/>
          <w:numId w:val="0"/>
        </w:numPr>
        <w:ind w:left="576" w:hanging="576"/>
      </w:pPr>
      <w:r w:rsidRPr="00D40E19">
        <w:t>2.1.2 Vid dödsfall</w:t>
      </w:r>
    </w:p>
    <w:p w14:paraId="28565E1F" w14:textId="5C2FD588" w:rsidR="00117723" w:rsidRPr="00D40E19" w:rsidRDefault="00117723" w:rsidP="00117723">
      <w:r w:rsidRPr="00D40E19">
        <w:t xml:space="preserve">Vid dödsfall </w:t>
      </w:r>
      <w:r w:rsidR="000E2862">
        <w:t>(</w:t>
      </w:r>
      <w:r w:rsidR="00D711F0" w:rsidRPr="000E2862">
        <w:t>den enskilde</w:t>
      </w:r>
      <w:r w:rsidRPr="000E2862">
        <w:t>)</w:t>
      </w:r>
      <w:r w:rsidRPr="00D40E19">
        <w:t xml:space="preserve"> så upphör båda parters ansvar, avtal och kostnader samma dag i enlighet med detta avtal.</w:t>
      </w:r>
    </w:p>
    <w:p w14:paraId="052CA0B8" w14:textId="59EA4840" w:rsidR="00117723" w:rsidRDefault="00117723" w:rsidP="00117723">
      <w:r w:rsidRPr="00D40E19">
        <w:t>Leverantören ansvarar för transport av avliden till hemkommunens bårhus eller motsvarande.</w:t>
      </w:r>
      <w:r w:rsidR="00AE197F">
        <w:t xml:space="preserve"> </w:t>
      </w:r>
      <w:r w:rsidR="00EA3FEF">
        <w:t>Leverantören skickar räkning för t</w:t>
      </w:r>
      <w:r w:rsidRPr="00D40E19">
        <w:t xml:space="preserve">ransporten </w:t>
      </w:r>
      <w:r w:rsidR="00EA3FEF">
        <w:t>till Beställ</w:t>
      </w:r>
      <w:r w:rsidR="00AE197F">
        <w:t>a</w:t>
      </w:r>
      <w:r w:rsidR="00EA3FEF">
        <w:t>ren som senare</w:t>
      </w:r>
      <w:r w:rsidR="00E46B57">
        <w:t xml:space="preserve"> </w:t>
      </w:r>
      <w:r w:rsidRPr="00D40E19">
        <w:t xml:space="preserve">faktureras </w:t>
      </w:r>
      <w:r w:rsidR="00EA3FEF">
        <w:t>den vidare</w:t>
      </w:r>
      <w:r w:rsidRPr="00D40E19">
        <w:t>till dödsboet via Beställaren.</w:t>
      </w:r>
    </w:p>
    <w:p w14:paraId="1A367F51" w14:textId="7F99EBBD" w:rsidR="002F4D5B" w:rsidRPr="002F4D5B" w:rsidRDefault="002F4D5B" w:rsidP="00470AD5">
      <w:pPr>
        <w:pStyle w:val="Rubrik2"/>
      </w:pPr>
      <w:r w:rsidRPr="002F4D5B">
        <w:t>Prisjustering</w:t>
      </w:r>
      <w:r w:rsidR="00EC04B6">
        <w:t xml:space="preserve"> </w:t>
      </w:r>
    </w:p>
    <w:p w14:paraId="6AFE41EC" w14:textId="35574995" w:rsidR="002F4D5B" w:rsidRPr="002F4D5B" w:rsidRDefault="002F4D5B" w:rsidP="006A7C56">
      <w:r w:rsidRPr="002F4D5B">
        <w:t xml:space="preserve">Priserna ska vara fasta till och </w:t>
      </w:r>
      <w:r w:rsidRPr="00C51B01">
        <w:t xml:space="preserve">med </w:t>
      </w:r>
      <w:r w:rsidR="00EC04B6" w:rsidRPr="00D40E19">
        <w:t>24-10-31</w:t>
      </w:r>
      <w:r w:rsidRPr="00D40E19">
        <w:rPr>
          <w:noProof/>
        </w:rPr>
        <w:t>.</w:t>
      </w:r>
      <w:r w:rsidRPr="00C51B01">
        <w:t xml:space="preserve"> Därefter</w:t>
      </w:r>
      <w:r w:rsidRPr="002F4D5B">
        <w:t xml:space="preserve"> kan ersättningen justeras</w:t>
      </w:r>
      <w:r w:rsidR="00E63390">
        <w:t xml:space="preserve"> årligen</w:t>
      </w:r>
      <w:r w:rsidRPr="002F4D5B">
        <w:t xml:space="preserve"> </w:t>
      </w:r>
      <w:r w:rsidR="006A7C56">
        <w:t xml:space="preserve">på begäran </w:t>
      </w:r>
      <w:r w:rsidRPr="002F4D5B">
        <w:t xml:space="preserve">enligt </w:t>
      </w:r>
      <w:r w:rsidR="00FA3803">
        <w:t xml:space="preserve">Omsorgsprisindex (OPI) </w:t>
      </w:r>
      <w:r w:rsidR="006A7C56" w:rsidRPr="00D827BF">
        <w:t>som innehåller lönekostnadsförändring och konsument</w:t>
      </w:r>
      <w:r w:rsidR="006A7C56">
        <w:t>p</w:t>
      </w:r>
      <w:r w:rsidR="006A7C56" w:rsidRPr="00D827BF">
        <w:t xml:space="preserve">risindex </w:t>
      </w:r>
      <w:r w:rsidR="00FA3803">
        <w:t xml:space="preserve">och </w:t>
      </w:r>
      <w:r w:rsidR="006A7C56" w:rsidRPr="00D827BF">
        <w:t xml:space="preserve">är </w:t>
      </w:r>
      <w:r w:rsidR="006A7C56" w:rsidRPr="00D66484">
        <w:t>framta</w:t>
      </w:r>
      <w:r w:rsidR="00CC1908">
        <w:t>gen och publicerad av Sveriges K</w:t>
      </w:r>
      <w:r w:rsidR="006A7C56" w:rsidRPr="00D66484">
        <w:t xml:space="preserve">ommuner och </w:t>
      </w:r>
      <w:r w:rsidR="006A7C56">
        <w:t>Regioner</w:t>
      </w:r>
      <w:r w:rsidR="006A7C56" w:rsidRPr="00D66484">
        <w:t xml:space="preserve">. </w:t>
      </w:r>
      <w:r w:rsidR="006A7C56">
        <w:t>Basprisindex är år 2021</w:t>
      </w:r>
      <w:r w:rsidR="00F04CD7">
        <w:t xml:space="preserve"> </w:t>
      </w:r>
      <w:r w:rsidR="00D8562D">
        <w:t xml:space="preserve">för den årliga </w:t>
      </w:r>
      <w:r w:rsidR="00D8562D" w:rsidRPr="00D66484">
        <w:t>Indexuppräkning</w:t>
      </w:r>
      <w:r w:rsidR="00D8562D">
        <w:t>en</w:t>
      </w:r>
      <w:r w:rsidR="006A7C56">
        <w:t xml:space="preserve"> </w:t>
      </w:r>
      <w:r w:rsidR="00D8562D">
        <w:t>(SKR gör</w:t>
      </w:r>
      <w:r w:rsidR="004448DE">
        <w:t>)</w:t>
      </w:r>
      <w:r w:rsidR="00D8562D">
        <w:t xml:space="preserve">. </w:t>
      </w:r>
      <w:r w:rsidRPr="002F4D5B">
        <w:t>Prisändringar +/- två procent justeras inte.</w:t>
      </w:r>
    </w:p>
    <w:p w14:paraId="3733FBC4" w14:textId="77777777" w:rsidR="002F4D5B" w:rsidRPr="002F4D5B" w:rsidRDefault="002F4D5B" w:rsidP="006A7C56">
      <w:r w:rsidRPr="002F4D5B">
        <w:rPr>
          <w:rFonts w:cs="Times New Roman"/>
          <w:szCs w:val="24"/>
        </w:rPr>
        <w:t xml:space="preserve">Begäran om prisjustering enligt index ska aviseras via ändringsbegäran i </w:t>
      </w:r>
      <w:r w:rsidR="007660A1">
        <w:rPr>
          <w:rFonts w:cs="Times New Roman"/>
          <w:szCs w:val="24"/>
        </w:rPr>
        <w:t>e-a</w:t>
      </w:r>
      <w:r w:rsidR="00DF1D3E">
        <w:rPr>
          <w:rFonts w:cs="Times New Roman"/>
          <w:szCs w:val="24"/>
        </w:rPr>
        <w:t>vrop</w:t>
      </w:r>
      <w:r w:rsidRPr="002F4D5B">
        <w:rPr>
          <w:rFonts w:cs="Times New Roman"/>
          <w:szCs w:val="24"/>
        </w:rPr>
        <w:t xml:space="preserve"> minst 30 dagar innan den är avsedd att träda i kraft. Begärda prisjusteringar kan endast tas ut efter godkännande av Upphandlingscenter och gäller efter godkännandet ett (1) år framåt.</w:t>
      </w:r>
    </w:p>
    <w:p w14:paraId="7E2A493E" w14:textId="59284D57" w:rsidR="00086C30" w:rsidRPr="002F4D5B" w:rsidRDefault="002F4D5B" w:rsidP="00FA3803">
      <w:r w:rsidRPr="002F4D5B">
        <w:t>Retroaktiva prisjusteringar godkänns ej.</w:t>
      </w:r>
    </w:p>
    <w:p w14:paraId="4F6C0A4E" w14:textId="77777777" w:rsidR="002F4D5B" w:rsidRPr="002F4D5B" w:rsidRDefault="002F4D5B" w:rsidP="00470AD5">
      <w:pPr>
        <w:pStyle w:val="Rubrik2"/>
      </w:pPr>
      <w:r w:rsidRPr="002F4D5B">
        <w:t>Betalningsvillkor</w:t>
      </w:r>
    </w:p>
    <w:p w14:paraId="3058A1DC" w14:textId="67D12CDC" w:rsidR="002F4D5B" w:rsidRPr="002F4D5B" w:rsidRDefault="00262A68" w:rsidP="002F4D5B">
      <w:r w:rsidRPr="00D66484">
        <w:t>Leverantören fakturerar Beställaren månadsvis i efterskott.</w:t>
      </w:r>
      <w:r>
        <w:t xml:space="preserve"> </w:t>
      </w:r>
      <w:r w:rsidR="002F4D5B" w:rsidRPr="002F4D5B">
        <w:t xml:space="preserve">För betalning av faktura gäller 30 dagars betalningstid från rättvisande fakturas ankomstdag. Om förfallodagen infaller på en lördag eller helgdag erlägger Beställaren betalning på närmast följande bankdag. Fakturerings- och expeditionsavgifter godkänns inte. Dröjsmålsränta accepteras enligt räntelagen. Om eventuell försenad betalning kan härledas till felaktig eller ofullständig faktura accepteras inte dröjsmålsränta. I det fall faktura överlämnas till finansbolag ska villkoren i avtalet mellan parterna gälla även för dem. </w:t>
      </w:r>
    </w:p>
    <w:p w14:paraId="53464D90" w14:textId="0FCA5650" w:rsidR="002F4D5B" w:rsidRDefault="002F4D5B" w:rsidP="00470AD5">
      <w:pPr>
        <w:pStyle w:val="Rubrik2"/>
      </w:pPr>
      <w:r w:rsidRPr="002F4D5B">
        <w:t>Faktureringsvillkor</w:t>
      </w:r>
    </w:p>
    <w:p w14:paraId="605DF50E" w14:textId="26BAFC04" w:rsidR="00D85032" w:rsidRPr="00D85032" w:rsidRDefault="00D85032" w:rsidP="00D85032">
      <w:r>
        <w:t xml:space="preserve">Fakturering sker månadsvis i efterskott. </w:t>
      </w:r>
      <w:r w:rsidRPr="003270AA">
        <w:t>Dock senast nästkommande månad.</w:t>
      </w:r>
    </w:p>
    <w:p w14:paraId="4E44BCBA" w14:textId="77777777" w:rsidR="002F4D5B" w:rsidRPr="002F4D5B" w:rsidRDefault="002F4D5B" w:rsidP="002F4D5B">
      <w:r w:rsidRPr="002F4D5B">
        <w:t>Aktuella fakturaadresser meddelas i samband med avtalets tecknande alternativt vid beställning.</w:t>
      </w:r>
    </w:p>
    <w:p w14:paraId="3E091A2A" w14:textId="77777777" w:rsidR="002F4D5B" w:rsidRPr="002F4D5B" w:rsidRDefault="002F4D5B" w:rsidP="002F4D5B">
      <w:pPr>
        <w:rPr>
          <w:szCs w:val="20"/>
        </w:rPr>
      </w:pPr>
      <w:r w:rsidRPr="002F4D5B">
        <w:lastRenderedPageBreak/>
        <w:t>Fakturorna ska märkas med en referenskod i fältet ”Er referens” som Beställaren uppger vid beställning. Uppges ingen referenskod får inte beställningen verkställas. Detta gäller samtliga fakturor oberoende hantering.</w:t>
      </w:r>
    </w:p>
    <w:p w14:paraId="089B1AE7" w14:textId="0E6C9859" w:rsidR="00AE197F" w:rsidRDefault="002F4D5B" w:rsidP="00AE197F">
      <w:r w:rsidRPr="002F4D5B">
        <w:rPr>
          <w:b/>
        </w:rPr>
        <w:t>Fakturorna ska innehålla:</w:t>
      </w:r>
    </w:p>
    <w:p w14:paraId="53A8E3E0" w14:textId="345328B0" w:rsidR="00AE197F" w:rsidRPr="00915599" w:rsidRDefault="00AE197F" w:rsidP="00283310">
      <w:pPr>
        <w:numPr>
          <w:ilvl w:val="0"/>
          <w:numId w:val="4"/>
        </w:numPr>
        <w:spacing w:before="120"/>
        <w:contextualSpacing/>
      </w:pPr>
      <w:r w:rsidRPr="00915599">
        <w:t>Avtalets diarienummer GNU</w:t>
      </w:r>
      <w:r w:rsidR="00915599" w:rsidRPr="00915599">
        <w:t xml:space="preserve"> 2021/145</w:t>
      </w:r>
    </w:p>
    <w:p w14:paraId="1C6FE508" w14:textId="3E0A2367" w:rsidR="002F4D5B" w:rsidRPr="002F4D5B" w:rsidRDefault="009B6BBA" w:rsidP="00283310">
      <w:pPr>
        <w:numPr>
          <w:ilvl w:val="0"/>
          <w:numId w:val="4"/>
        </w:numPr>
        <w:spacing w:before="120"/>
        <w:contextualSpacing/>
      </w:pPr>
      <w:r>
        <w:t>F</w:t>
      </w:r>
      <w:r w:rsidR="002F4D5B" w:rsidRPr="002F4D5B">
        <w:t>akturanummer</w:t>
      </w:r>
    </w:p>
    <w:p w14:paraId="0BB226F8" w14:textId="2AA7C241" w:rsidR="002F4D5B" w:rsidRPr="002F4D5B" w:rsidRDefault="009B6BBA" w:rsidP="00283310">
      <w:pPr>
        <w:numPr>
          <w:ilvl w:val="0"/>
          <w:numId w:val="4"/>
        </w:numPr>
        <w:spacing w:before="120"/>
        <w:contextualSpacing/>
      </w:pPr>
      <w:r>
        <w:t>F</w:t>
      </w:r>
      <w:r w:rsidR="002F4D5B" w:rsidRPr="002F4D5B">
        <w:t>akturadatum</w:t>
      </w:r>
    </w:p>
    <w:p w14:paraId="4C8DC160" w14:textId="698543B5" w:rsidR="002F4D5B" w:rsidRPr="002F4D5B" w:rsidRDefault="009B6BBA" w:rsidP="00283310">
      <w:pPr>
        <w:numPr>
          <w:ilvl w:val="0"/>
          <w:numId w:val="4"/>
        </w:numPr>
        <w:spacing w:before="120"/>
        <w:contextualSpacing/>
      </w:pPr>
      <w:r>
        <w:t>F</w:t>
      </w:r>
      <w:r w:rsidR="002F4D5B" w:rsidRPr="002F4D5B">
        <w:t>akturabelopp</w:t>
      </w:r>
    </w:p>
    <w:p w14:paraId="75404C13" w14:textId="03929120" w:rsidR="002F4D5B" w:rsidRPr="002F4D5B" w:rsidRDefault="009B6BBA" w:rsidP="00283310">
      <w:pPr>
        <w:numPr>
          <w:ilvl w:val="0"/>
          <w:numId w:val="4"/>
        </w:numPr>
        <w:spacing w:before="120"/>
        <w:contextualSpacing/>
      </w:pPr>
      <w:r>
        <w:t>M</w:t>
      </w:r>
      <w:r w:rsidR="002F4D5B" w:rsidRPr="002F4D5B">
        <w:t>omsbelopp</w:t>
      </w:r>
    </w:p>
    <w:p w14:paraId="3EB36AB1" w14:textId="6EFE96C0" w:rsidR="002F4D5B" w:rsidRPr="002F4D5B" w:rsidRDefault="009B6BBA" w:rsidP="00283310">
      <w:pPr>
        <w:numPr>
          <w:ilvl w:val="0"/>
          <w:numId w:val="4"/>
        </w:numPr>
        <w:spacing w:before="120"/>
        <w:contextualSpacing/>
      </w:pPr>
      <w:r>
        <w:t>K</w:t>
      </w:r>
      <w:r w:rsidR="002F4D5B" w:rsidRPr="002F4D5B">
        <w:t>ostnadsställe</w:t>
      </w:r>
    </w:p>
    <w:p w14:paraId="0410D076" w14:textId="10A42496" w:rsidR="002F4D5B" w:rsidRPr="002F4D5B" w:rsidRDefault="009B6BBA" w:rsidP="00283310">
      <w:pPr>
        <w:numPr>
          <w:ilvl w:val="0"/>
          <w:numId w:val="4"/>
        </w:numPr>
        <w:spacing w:before="120"/>
        <w:contextualSpacing/>
      </w:pPr>
      <w:r>
        <w:t>R</w:t>
      </w:r>
      <w:r w:rsidR="002F4D5B" w:rsidRPr="002F4D5B">
        <w:t>eferenskod</w:t>
      </w:r>
    </w:p>
    <w:p w14:paraId="1419EF46" w14:textId="7F632406" w:rsidR="002F4D5B" w:rsidRPr="002F4D5B" w:rsidRDefault="009B6BBA" w:rsidP="00283310">
      <w:pPr>
        <w:numPr>
          <w:ilvl w:val="0"/>
          <w:numId w:val="4"/>
        </w:numPr>
        <w:spacing w:before="120"/>
        <w:contextualSpacing/>
      </w:pPr>
      <w:r>
        <w:t>B</w:t>
      </w:r>
      <w:r w:rsidR="002F4D5B" w:rsidRPr="002F4D5B">
        <w:t>ankgironummer och/alternativt plusgironummer</w:t>
      </w:r>
    </w:p>
    <w:p w14:paraId="41FD10F1" w14:textId="32E67CAE" w:rsidR="002F4D5B" w:rsidRPr="002E034D" w:rsidRDefault="009B6BBA" w:rsidP="00283310">
      <w:pPr>
        <w:numPr>
          <w:ilvl w:val="0"/>
          <w:numId w:val="4"/>
        </w:numPr>
        <w:spacing w:before="120"/>
        <w:contextualSpacing/>
      </w:pPr>
      <w:r>
        <w:t>O</w:t>
      </w:r>
      <w:r w:rsidR="002F4D5B" w:rsidRPr="002E034D">
        <w:t>rganisationsnummer/VAT-nummer</w:t>
      </w:r>
    </w:p>
    <w:p w14:paraId="247FD674" w14:textId="5666A6A9" w:rsidR="002F4D5B" w:rsidRPr="002E034D" w:rsidRDefault="009B6BBA" w:rsidP="00283310">
      <w:pPr>
        <w:numPr>
          <w:ilvl w:val="0"/>
          <w:numId w:val="4"/>
        </w:numPr>
        <w:spacing w:before="120"/>
        <w:contextualSpacing/>
      </w:pPr>
      <w:r>
        <w:t>G</w:t>
      </w:r>
      <w:r w:rsidR="002F4D5B" w:rsidRPr="002E034D">
        <w:t>odkänd för F-skatt</w:t>
      </w:r>
    </w:p>
    <w:p w14:paraId="2FE8E9FC" w14:textId="5B3855E0" w:rsidR="002A49C7" w:rsidRPr="002E034D" w:rsidRDefault="002A49C7" w:rsidP="00283310">
      <w:pPr>
        <w:numPr>
          <w:ilvl w:val="0"/>
          <w:numId w:val="4"/>
        </w:numPr>
        <w:spacing w:before="120"/>
        <w:contextualSpacing/>
      </w:pPr>
      <w:r w:rsidRPr="002E034D">
        <w:t>Ärendenummer</w:t>
      </w:r>
      <w:r w:rsidR="00580186">
        <w:t>/VON</w:t>
      </w:r>
      <w:r w:rsidR="00720079">
        <w:t xml:space="preserve"> </w:t>
      </w:r>
      <w:r w:rsidR="00580186">
        <w:t>nummer</w:t>
      </w:r>
    </w:p>
    <w:p w14:paraId="15652A69" w14:textId="1210AA53" w:rsidR="002A49C7" w:rsidRPr="000E2862" w:rsidRDefault="00D711F0" w:rsidP="00283310">
      <w:pPr>
        <w:numPr>
          <w:ilvl w:val="0"/>
          <w:numId w:val="4"/>
        </w:numPr>
        <w:spacing w:before="120"/>
        <w:contextualSpacing/>
      </w:pPr>
      <w:r w:rsidRPr="000E2862">
        <w:t>Den enskildes</w:t>
      </w:r>
      <w:r w:rsidR="002A49C7" w:rsidRPr="000E2862">
        <w:t xml:space="preserve"> initialer </w:t>
      </w:r>
    </w:p>
    <w:p w14:paraId="6518CB05" w14:textId="77777777" w:rsidR="002A49C7" w:rsidRPr="002E034D" w:rsidRDefault="002A49C7" w:rsidP="00283310">
      <w:pPr>
        <w:numPr>
          <w:ilvl w:val="0"/>
          <w:numId w:val="4"/>
        </w:numPr>
        <w:spacing w:before="120"/>
        <w:contextualSpacing/>
      </w:pPr>
      <w:r w:rsidRPr="002E034D">
        <w:t>Tidsperiod</w:t>
      </w:r>
    </w:p>
    <w:p w14:paraId="03316699" w14:textId="77777777" w:rsidR="002A49C7" w:rsidRPr="002E034D" w:rsidRDefault="002A49C7" w:rsidP="00283310">
      <w:pPr>
        <w:numPr>
          <w:ilvl w:val="0"/>
          <w:numId w:val="4"/>
        </w:numPr>
        <w:spacing w:before="120"/>
        <w:contextualSpacing/>
      </w:pPr>
      <w:r w:rsidRPr="002E034D">
        <w:t>Dygnsersättning enligt ramavtal, exklusive moms</w:t>
      </w:r>
    </w:p>
    <w:p w14:paraId="19399EA7" w14:textId="5420DDE0" w:rsidR="002A49C7" w:rsidRPr="002E034D" w:rsidRDefault="002A49C7" w:rsidP="00283310">
      <w:pPr>
        <w:numPr>
          <w:ilvl w:val="0"/>
          <w:numId w:val="4"/>
        </w:numPr>
        <w:spacing w:before="120"/>
        <w:contextualSpacing/>
      </w:pPr>
      <w:r w:rsidRPr="002E034D">
        <w:t>Beställarens namn</w:t>
      </w:r>
    </w:p>
    <w:p w14:paraId="4B519399" w14:textId="77777777" w:rsidR="002A49C7" w:rsidRPr="002E034D" w:rsidRDefault="002A49C7" w:rsidP="00283310">
      <w:pPr>
        <w:numPr>
          <w:ilvl w:val="0"/>
          <w:numId w:val="4"/>
        </w:numPr>
        <w:spacing w:before="120"/>
        <w:contextualSpacing/>
      </w:pPr>
      <w:r w:rsidRPr="002E034D">
        <w:t>Namn på vård och omsorgsboende</w:t>
      </w:r>
    </w:p>
    <w:p w14:paraId="13983ACA" w14:textId="77777777" w:rsidR="002A49C7" w:rsidRPr="002E034D" w:rsidRDefault="002A49C7" w:rsidP="00283310">
      <w:pPr>
        <w:numPr>
          <w:ilvl w:val="0"/>
          <w:numId w:val="4"/>
        </w:numPr>
        <w:spacing w:before="120"/>
        <w:contextualSpacing/>
      </w:pPr>
      <w:r w:rsidRPr="002E034D">
        <w:t>Adress</w:t>
      </w:r>
    </w:p>
    <w:p w14:paraId="52140191" w14:textId="77777777" w:rsidR="002A49C7" w:rsidRPr="002E034D" w:rsidRDefault="002A49C7" w:rsidP="00283310">
      <w:pPr>
        <w:numPr>
          <w:ilvl w:val="0"/>
          <w:numId w:val="4"/>
        </w:numPr>
        <w:spacing w:before="120"/>
        <w:contextualSpacing/>
      </w:pPr>
      <w:r w:rsidRPr="002E034D">
        <w:t>Telefonnummer</w:t>
      </w:r>
    </w:p>
    <w:p w14:paraId="2721375A" w14:textId="4A951739" w:rsidR="002A49C7" w:rsidRDefault="002A49C7" w:rsidP="00283310">
      <w:pPr>
        <w:numPr>
          <w:ilvl w:val="0"/>
          <w:numId w:val="4"/>
        </w:numPr>
        <w:spacing w:before="120"/>
        <w:contextualSpacing/>
      </w:pPr>
      <w:r w:rsidRPr="002E034D">
        <w:t>Kontaktperson för fakturering</w:t>
      </w:r>
    </w:p>
    <w:p w14:paraId="54A8CF48" w14:textId="5881310B" w:rsidR="00070F4E" w:rsidRPr="002E034D" w:rsidRDefault="00070F4E" w:rsidP="00283310">
      <w:pPr>
        <w:numPr>
          <w:ilvl w:val="0"/>
          <w:numId w:val="4"/>
        </w:numPr>
        <w:spacing w:before="120"/>
        <w:contextualSpacing/>
      </w:pPr>
      <w:r>
        <w:t xml:space="preserve">Närvarorapport ska medfölja </w:t>
      </w:r>
      <w:r w:rsidR="00720079">
        <w:t xml:space="preserve">räkningen </w:t>
      </w:r>
      <w:r>
        <w:t>för Beställarens debitering av den enskildes matkostnader och omvårdnad</w:t>
      </w:r>
    </w:p>
    <w:p w14:paraId="50C1F2DC" w14:textId="150E3D73" w:rsidR="007F2F82" w:rsidRDefault="007F2F82" w:rsidP="007F2F82">
      <w:pPr>
        <w:pStyle w:val="eAvropBrd"/>
        <w:ind w:left="0"/>
        <w:rPr>
          <w:rFonts w:ascii="Garamond" w:hAnsi="Garamond"/>
          <w:sz w:val="24"/>
        </w:rPr>
      </w:pPr>
      <w:r w:rsidRPr="007F2F82">
        <w:rPr>
          <w:rFonts w:ascii="Garamond" w:hAnsi="Garamond"/>
          <w:sz w:val="24"/>
        </w:rPr>
        <w:t xml:space="preserve">Det får inte förekomma personuppgifter i fakturorna. </w:t>
      </w:r>
      <w:r w:rsidR="001D10A1">
        <w:rPr>
          <w:rFonts w:ascii="Garamond" w:hAnsi="Garamond"/>
          <w:sz w:val="24"/>
        </w:rPr>
        <w:t>Anger Beställaren ett ärendenummer ex. VON nummer är det kopplat till en specifik person vars uppgifter finns hos Beställar</w:t>
      </w:r>
      <w:r w:rsidR="00580186">
        <w:rPr>
          <w:rFonts w:ascii="Garamond" w:hAnsi="Garamond"/>
          <w:sz w:val="24"/>
        </w:rPr>
        <w:t xml:space="preserve">en för att inte röja sekretess. </w:t>
      </w:r>
    </w:p>
    <w:p w14:paraId="38333B8A" w14:textId="02AF37AA" w:rsidR="00D85032" w:rsidRDefault="006D71C5" w:rsidP="007F2F82">
      <w:pPr>
        <w:spacing w:before="120"/>
        <w:contextualSpacing/>
      </w:pPr>
      <w:r w:rsidRPr="007F2F82">
        <w:t>Om fakturan saknar dessa uppgifter ska utföraren rätta och skicka ny faktura.</w:t>
      </w:r>
      <w:r w:rsidR="001A2ACF" w:rsidRPr="007F2F82">
        <w:t xml:space="preserve"> </w:t>
      </w:r>
      <w:r w:rsidRPr="007F2F82">
        <w:t xml:space="preserve">Fakturerings-, uppläggnings-, expeditions-, påminnelse- eller andra avgifter godkänns inte och får inte debiteras. </w:t>
      </w:r>
    </w:p>
    <w:p w14:paraId="6DBF75B2" w14:textId="77777777" w:rsidR="00720079" w:rsidRDefault="00720079" w:rsidP="007F2F82">
      <w:pPr>
        <w:spacing w:before="120"/>
        <w:contextualSpacing/>
      </w:pPr>
    </w:p>
    <w:p w14:paraId="6569FC8D" w14:textId="3AABED79" w:rsidR="000A5CCF" w:rsidRPr="00D85032" w:rsidRDefault="000A5CCF" w:rsidP="007F2F82">
      <w:pPr>
        <w:spacing w:before="120"/>
        <w:contextualSpacing/>
      </w:pPr>
      <w:r>
        <w:t xml:space="preserve">Beställaren </w:t>
      </w:r>
      <w:r w:rsidR="00720079">
        <w:t xml:space="preserve">skickar räkning till </w:t>
      </w:r>
      <w:r>
        <w:t>den enskilde f</w:t>
      </w:r>
      <w:r w:rsidR="00720079">
        <w:t>ör räkning f</w:t>
      </w:r>
      <w:r>
        <w:t>ör hyra och matkostnader i efterhand</w:t>
      </w:r>
      <w:r w:rsidR="00720079">
        <w:t>.</w:t>
      </w:r>
    </w:p>
    <w:p w14:paraId="2142126A" w14:textId="77777777" w:rsidR="002F4D5B" w:rsidRPr="002F4D5B" w:rsidRDefault="002F4D5B" w:rsidP="000C7E15">
      <w:pPr>
        <w:pStyle w:val="Rubrik3"/>
      </w:pPr>
      <w:r w:rsidRPr="002F4D5B">
        <w:t>Elektronisk handel</w:t>
      </w:r>
    </w:p>
    <w:p w14:paraId="7EC9394E" w14:textId="11332E84" w:rsidR="00795A34" w:rsidRPr="002F4D5B" w:rsidRDefault="00795A34" w:rsidP="00795A34">
      <w:r>
        <w:t xml:space="preserve">Leverantören ska skicka elektronisk faktura enligt </w:t>
      </w:r>
      <w:r w:rsidR="00C52627">
        <w:t>SFTI</w:t>
      </w:r>
      <w:r>
        <w:t xml:space="preserve"> standard. Observera att PDF-fakturor eller scannade fakturor inte kommer att godkännas som e-faktura. Leverantören ska dessutom på </w:t>
      </w:r>
      <w:r w:rsidR="008D350B">
        <w:t>begäran</w:t>
      </w:r>
      <w:r w:rsidRPr="002F4D5B">
        <w:t>:</w:t>
      </w:r>
    </w:p>
    <w:p w14:paraId="08A86C83" w14:textId="2AA3C686" w:rsidR="00795A34" w:rsidRPr="002F4D5B" w:rsidRDefault="003B0F0F" w:rsidP="00283310">
      <w:pPr>
        <w:numPr>
          <w:ilvl w:val="0"/>
          <w:numId w:val="5"/>
        </w:numPr>
        <w:spacing w:before="120"/>
        <w:contextualSpacing/>
      </w:pPr>
      <w:r>
        <w:t>K</w:t>
      </w:r>
      <w:r w:rsidR="00795A34" w:rsidRPr="002F4D5B">
        <w:t xml:space="preserve">unna skicka prislista </w:t>
      </w:r>
      <w:r>
        <w:t xml:space="preserve">(exempelvis Excel eller </w:t>
      </w:r>
      <w:proofErr w:type="spellStart"/>
      <w:r>
        <w:t>Pricat</w:t>
      </w:r>
      <w:proofErr w:type="spellEnd"/>
      <w:r>
        <w:t>)</w:t>
      </w:r>
    </w:p>
    <w:p w14:paraId="405784C7" w14:textId="6C14616E" w:rsidR="00795A34" w:rsidRDefault="003B0F0F" w:rsidP="00283310">
      <w:pPr>
        <w:numPr>
          <w:ilvl w:val="0"/>
          <w:numId w:val="5"/>
        </w:numPr>
        <w:spacing w:before="120"/>
        <w:contextualSpacing/>
      </w:pPr>
      <w:r>
        <w:t>K</w:t>
      </w:r>
      <w:r w:rsidR="00795A34" w:rsidRPr="002F4D5B">
        <w:t>unna ta emot en beställning elektroniskt (exempelvis via e-post eller EDI-order)</w:t>
      </w:r>
    </w:p>
    <w:p w14:paraId="76A48815" w14:textId="3C45111D" w:rsidR="00D876DF" w:rsidRPr="007C0C20" w:rsidRDefault="00D876DF" w:rsidP="001A2ACF">
      <w:pPr>
        <w:pStyle w:val="Rubrik2"/>
      </w:pPr>
      <w:r w:rsidRPr="007C0C20">
        <w:lastRenderedPageBreak/>
        <w:t>Placeringsavtal</w:t>
      </w:r>
      <w:r w:rsidR="007C0C20" w:rsidRPr="007C0C20">
        <w:t>/vårdavtal</w:t>
      </w:r>
    </w:p>
    <w:p w14:paraId="4E8F775C" w14:textId="337D40A4" w:rsidR="006462ED" w:rsidRDefault="007C0C20" w:rsidP="006462ED">
      <w:r w:rsidRPr="007C0C20">
        <w:t xml:space="preserve">För den enskilde som placeras ska Beställaren utfärda ett placerings-/vårdavtal. </w:t>
      </w:r>
      <w:r w:rsidR="00AE197F">
        <w:br/>
      </w:r>
      <w:r w:rsidRPr="000B1EE2">
        <w:t>Avtalet är ett avrop från ramavtalet och innehåller uppgifter om den enskildes namn, personnummer, placeringstid mm.</w:t>
      </w:r>
    </w:p>
    <w:p w14:paraId="0975AC1C" w14:textId="054BF8AB" w:rsidR="000D7383" w:rsidRDefault="000D7383" w:rsidP="000D7383">
      <w:pPr>
        <w:pStyle w:val="Rubrik3"/>
      </w:pPr>
      <w:r>
        <w:t>Förlängning  av placeringsavtalet</w:t>
      </w:r>
    </w:p>
    <w:p w14:paraId="6CC39CA1" w14:textId="32B0FD18" w:rsidR="000D7383" w:rsidRDefault="00D876DF" w:rsidP="000D7383">
      <w:pPr>
        <w:pStyle w:val="Rubrik3"/>
        <w:numPr>
          <w:ilvl w:val="0"/>
          <w:numId w:val="0"/>
        </w:numPr>
        <w:rPr>
          <w:rFonts w:ascii="Garamond" w:eastAsia="Times New Roman" w:hAnsi="Garamond" w:cs="Times New Roman"/>
          <w:color w:val="000000" w:themeColor="text1"/>
          <w:lang w:eastAsia="sv-SE"/>
        </w:rPr>
      </w:pPr>
      <w:r w:rsidRPr="000D7383">
        <w:rPr>
          <w:rFonts w:ascii="Garamond" w:eastAsia="Times New Roman" w:hAnsi="Garamond" w:cs="Times New Roman"/>
          <w:color w:val="000000" w:themeColor="text1"/>
          <w:lang w:eastAsia="sv-SE"/>
        </w:rPr>
        <w:t>Placeringsavtalet kan förlängas. Parterna ska vara överens om villkoren senast 14 dagar innan avtalet förlängs. Förlängningen ska skriftligen skrivas under av bägge parter.</w:t>
      </w:r>
      <w:r w:rsidR="000D7383">
        <w:rPr>
          <w:rFonts w:ascii="Garamond" w:eastAsia="Times New Roman" w:hAnsi="Garamond" w:cs="Times New Roman"/>
          <w:color w:val="000000" w:themeColor="text1"/>
          <w:lang w:eastAsia="sv-SE"/>
        </w:rPr>
        <w:br/>
      </w:r>
    </w:p>
    <w:p w14:paraId="55A253A4" w14:textId="227EA92E" w:rsidR="006462ED" w:rsidRDefault="006462ED" w:rsidP="000D7383">
      <w:pPr>
        <w:pStyle w:val="Rubrik3"/>
        <w:rPr>
          <w:rFonts w:eastAsia="Times New Roman"/>
          <w:lang w:eastAsia="sv-SE"/>
        </w:rPr>
      </w:pPr>
      <w:r>
        <w:rPr>
          <w:rFonts w:eastAsia="Times New Roman"/>
          <w:lang w:eastAsia="sv-SE"/>
        </w:rPr>
        <w:t xml:space="preserve">Uppsägning av bokad plats </w:t>
      </w:r>
    </w:p>
    <w:p w14:paraId="78C56753" w14:textId="0AABF6AB" w:rsidR="006462ED" w:rsidRDefault="006462ED" w:rsidP="006462ED">
      <w:pPr>
        <w:pStyle w:val="eAvropBrd"/>
        <w:ind w:left="0"/>
        <w:rPr>
          <w:rFonts w:ascii="Garamond" w:hAnsi="Garamond"/>
          <w:color w:val="000000" w:themeColor="text1"/>
          <w:sz w:val="24"/>
        </w:rPr>
      </w:pPr>
      <w:r w:rsidRPr="0015190F">
        <w:rPr>
          <w:rFonts w:ascii="Garamond" w:hAnsi="Garamond"/>
          <w:color w:val="000000" w:themeColor="text1"/>
          <w:sz w:val="24"/>
        </w:rPr>
        <w:t>I de fall då planerad placering inte blir aktuell på grund av omständigheter som Beställaren inte kan råda över, är uppsägningstiden 0 dagar och ingen kostnad debiteras Beställaren.</w:t>
      </w:r>
    </w:p>
    <w:p w14:paraId="0222A384" w14:textId="77777777" w:rsidR="006462ED" w:rsidRPr="0015190F" w:rsidRDefault="006462ED" w:rsidP="006462ED">
      <w:pPr>
        <w:pStyle w:val="eAvropBrd"/>
        <w:ind w:left="0"/>
        <w:rPr>
          <w:rFonts w:ascii="Garamond" w:hAnsi="Garamond"/>
          <w:color w:val="000000" w:themeColor="text1"/>
          <w:sz w:val="24"/>
        </w:rPr>
      </w:pPr>
    </w:p>
    <w:p w14:paraId="6E21B606" w14:textId="66C95A83" w:rsidR="00D876DF" w:rsidRPr="000D7383" w:rsidRDefault="000D7383" w:rsidP="000D7383">
      <w:pPr>
        <w:pStyle w:val="Rubrik3"/>
        <w:rPr>
          <w:rFonts w:eastAsia="Times New Roman"/>
          <w:lang w:eastAsia="sv-SE"/>
        </w:rPr>
      </w:pPr>
      <w:r>
        <w:rPr>
          <w:rFonts w:eastAsia="Times New Roman"/>
          <w:lang w:eastAsia="sv-SE"/>
        </w:rPr>
        <w:t>Uppsägning av placeringsavtalet</w:t>
      </w:r>
    </w:p>
    <w:p w14:paraId="68F17E17" w14:textId="77777777" w:rsidR="00AA30DC" w:rsidRDefault="0082250B" w:rsidP="001A2ACF">
      <w:pPr>
        <w:pStyle w:val="eAvropBrd"/>
        <w:ind w:left="0"/>
        <w:rPr>
          <w:rFonts w:ascii="Garamond" w:hAnsi="Garamond"/>
          <w:color w:val="000000" w:themeColor="text1"/>
          <w:sz w:val="24"/>
        </w:rPr>
      </w:pPr>
      <w:r w:rsidRPr="000B1EE2">
        <w:rPr>
          <w:rFonts w:ascii="Garamond" w:hAnsi="Garamond"/>
          <w:color w:val="000000" w:themeColor="text1"/>
          <w:sz w:val="24"/>
        </w:rPr>
        <w:t>Uppsägning av placeringsavtal kan ske</w:t>
      </w:r>
      <w:r w:rsidR="00AA30DC">
        <w:rPr>
          <w:rFonts w:ascii="Garamond" w:hAnsi="Garamond"/>
          <w:color w:val="000000" w:themeColor="text1"/>
          <w:sz w:val="24"/>
        </w:rPr>
        <w:t xml:space="preserve"> exempelvis när:</w:t>
      </w:r>
    </w:p>
    <w:p w14:paraId="7D952E1B" w14:textId="72720F2E" w:rsidR="00AA30DC" w:rsidRDefault="00AA30DC" w:rsidP="00AA30DC">
      <w:pPr>
        <w:pStyle w:val="Liststycke"/>
        <w:numPr>
          <w:ilvl w:val="0"/>
          <w:numId w:val="15"/>
        </w:numPr>
      </w:pPr>
      <w:r w:rsidRPr="00F849E4">
        <w:t>Den enskilde själv vill avbryta boendeplatsen</w:t>
      </w:r>
    </w:p>
    <w:p w14:paraId="1CBD5585" w14:textId="24FB9D4B" w:rsidR="00AA30DC" w:rsidRPr="00F849E4" w:rsidRDefault="00AA30DC" w:rsidP="00AA30DC">
      <w:pPr>
        <w:pStyle w:val="Liststycke"/>
        <w:numPr>
          <w:ilvl w:val="0"/>
          <w:numId w:val="15"/>
        </w:numPr>
      </w:pPr>
      <w:r>
        <w:t>Den enskildes behov av insatsen förändras</w:t>
      </w:r>
      <w:r w:rsidRPr="00AA30DC">
        <w:t xml:space="preserve"> </w:t>
      </w:r>
      <w:r w:rsidRPr="00F849E4">
        <w:t>väsentligt</w:t>
      </w:r>
    </w:p>
    <w:p w14:paraId="144EC737" w14:textId="77777777" w:rsidR="00AA30DC" w:rsidRDefault="00AA30DC" w:rsidP="00AA30DC">
      <w:pPr>
        <w:pStyle w:val="Liststycke"/>
        <w:numPr>
          <w:ilvl w:val="0"/>
          <w:numId w:val="15"/>
        </w:numPr>
      </w:pPr>
      <w:r w:rsidRPr="00F849E4">
        <w:t xml:space="preserve">Leverantören inte kan tillgodose den enskildes behov på bästa sätt </w:t>
      </w:r>
    </w:p>
    <w:p w14:paraId="5F16CBE6" w14:textId="1A58EB95" w:rsidR="00AA30DC" w:rsidRPr="00F849E4" w:rsidRDefault="00AA30DC" w:rsidP="00183149">
      <w:pPr>
        <w:pStyle w:val="Liststycke"/>
        <w:numPr>
          <w:ilvl w:val="0"/>
          <w:numId w:val="15"/>
        </w:numPr>
      </w:pPr>
      <w:r w:rsidRPr="00F849E4">
        <w:t>Beställarens behov av externt köp förändras</w:t>
      </w:r>
      <w:r>
        <w:t xml:space="preserve">, dvs. </w:t>
      </w:r>
      <w:r w:rsidRPr="00AA30DC">
        <w:rPr>
          <w:color w:val="000000" w:themeColor="text1"/>
        </w:rPr>
        <w:t>insatsen kan verkställas i den enskildes hemkommun</w:t>
      </w:r>
    </w:p>
    <w:p w14:paraId="024C54F2" w14:textId="33A77458" w:rsidR="00AA30DC" w:rsidRDefault="00AA30DC" w:rsidP="00AA30DC">
      <w:pPr>
        <w:pStyle w:val="eAvropBrd"/>
        <w:ind w:left="0"/>
        <w:rPr>
          <w:rFonts w:ascii="Garamond" w:hAnsi="Garamond"/>
          <w:color w:val="000000" w:themeColor="text1"/>
          <w:sz w:val="24"/>
        </w:rPr>
      </w:pPr>
      <w:r w:rsidRPr="000B1EE2">
        <w:rPr>
          <w:rFonts w:ascii="Garamond" w:hAnsi="Garamond"/>
          <w:color w:val="000000" w:themeColor="text1"/>
          <w:sz w:val="24"/>
        </w:rPr>
        <w:t xml:space="preserve">Placeringsavtal kan skriftligen sägas upp i </w:t>
      </w:r>
      <w:r w:rsidRPr="0082250B">
        <w:rPr>
          <w:rFonts w:ascii="Garamond" w:hAnsi="Garamond"/>
          <w:color w:val="000000" w:themeColor="text1"/>
          <w:sz w:val="24"/>
        </w:rPr>
        <w:t>förtid av båda parter. Uppsägningstiden är ömsesidig på 14 dagar.</w:t>
      </w:r>
    </w:p>
    <w:p w14:paraId="47484485" w14:textId="77777777" w:rsidR="006462ED" w:rsidRDefault="006462ED" w:rsidP="001A2ACF">
      <w:pPr>
        <w:pStyle w:val="eAvropBrd"/>
        <w:ind w:left="0"/>
        <w:rPr>
          <w:rFonts w:ascii="Garamond" w:hAnsi="Garamond"/>
          <w:color w:val="000000" w:themeColor="text1"/>
          <w:sz w:val="24"/>
        </w:rPr>
      </w:pPr>
    </w:p>
    <w:p w14:paraId="5276B64B" w14:textId="14E06A49" w:rsidR="006462ED" w:rsidRPr="0082250B" w:rsidRDefault="006462ED" w:rsidP="006462ED">
      <w:pPr>
        <w:pStyle w:val="Rubrik3"/>
      </w:pPr>
      <w:r>
        <w:t>Uppsägning av den enskilde vid regelbrott</w:t>
      </w:r>
    </w:p>
    <w:p w14:paraId="42D3D2F9" w14:textId="0E4EA4BD" w:rsidR="00D876DF" w:rsidRDefault="00D876DF" w:rsidP="001A2ACF">
      <w:pPr>
        <w:pStyle w:val="eAvropBrd"/>
        <w:ind w:left="0"/>
        <w:rPr>
          <w:rFonts w:ascii="Garamond" w:hAnsi="Garamond"/>
          <w:color w:val="000000" w:themeColor="text1"/>
          <w:sz w:val="24"/>
        </w:rPr>
      </w:pPr>
      <w:r w:rsidRPr="0082250B">
        <w:rPr>
          <w:rFonts w:ascii="Garamond" w:hAnsi="Garamond"/>
          <w:color w:val="000000" w:themeColor="text1"/>
          <w:sz w:val="24"/>
        </w:rPr>
        <w:t xml:space="preserve">Leverantören skriver ut den </w:t>
      </w:r>
      <w:r w:rsidR="0082250B" w:rsidRPr="0082250B">
        <w:rPr>
          <w:rFonts w:ascii="Garamond" w:hAnsi="Garamond"/>
          <w:color w:val="000000" w:themeColor="text1"/>
          <w:sz w:val="24"/>
        </w:rPr>
        <w:t>enskilde</w:t>
      </w:r>
      <w:r w:rsidRPr="0082250B">
        <w:rPr>
          <w:rFonts w:ascii="Garamond" w:hAnsi="Garamond"/>
          <w:color w:val="000000" w:themeColor="text1"/>
          <w:sz w:val="24"/>
        </w:rPr>
        <w:t xml:space="preserve"> vid exempelvis regelbrott. </w:t>
      </w:r>
      <w:r w:rsidR="0082250B" w:rsidRPr="0082250B">
        <w:rPr>
          <w:rFonts w:ascii="Garamond" w:hAnsi="Garamond"/>
          <w:color w:val="000000" w:themeColor="text1"/>
          <w:sz w:val="24"/>
        </w:rPr>
        <w:t xml:space="preserve">Risk för uppsägning på grund av regelbrott eller missförhållanden ska ha meddelats kontaktperson hos Beställaren innan uppsägning. </w:t>
      </w:r>
      <w:r w:rsidRPr="0082250B">
        <w:rPr>
          <w:rFonts w:ascii="Garamond" w:hAnsi="Garamond"/>
          <w:color w:val="000000" w:themeColor="text1"/>
          <w:sz w:val="24"/>
        </w:rPr>
        <w:t>Uppsägningstiden är då på</w:t>
      </w:r>
      <w:r w:rsidR="0082250B" w:rsidRPr="0082250B">
        <w:rPr>
          <w:rFonts w:ascii="Garamond" w:hAnsi="Garamond"/>
          <w:color w:val="000000" w:themeColor="text1"/>
          <w:sz w:val="24"/>
        </w:rPr>
        <w:t xml:space="preserve"> fem (5)</w:t>
      </w:r>
      <w:r w:rsidRPr="0082250B">
        <w:rPr>
          <w:rFonts w:ascii="Garamond" w:hAnsi="Garamond"/>
          <w:color w:val="000000" w:themeColor="text1"/>
          <w:sz w:val="24"/>
        </w:rPr>
        <w:t xml:space="preserve"> </w:t>
      </w:r>
      <w:r w:rsidR="0082250B" w:rsidRPr="0082250B">
        <w:rPr>
          <w:rFonts w:ascii="Garamond" w:hAnsi="Garamond"/>
          <w:color w:val="000000" w:themeColor="text1"/>
          <w:sz w:val="24"/>
        </w:rPr>
        <w:t>arbets</w:t>
      </w:r>
      <w:r w:rsidRPr="0082250B">
        <w:rPr>
          <w:rFonts w:ascii="Garamond" w:hAnsi="Garamond"/>
          <w:color w:val="000000" w:themeColor="text1"/>
          <w:sz w:val="24"/>
        </w:rPr>
        <w:t>dagar.</w:t>
      </w:r>
      <w:r w:rsidR="0015190F" w:rsidRPr="0082250B">
        <w:rPr>
          <w:rFonts w:ascii="Garamond" w:hAnsi="Garamond"/>
          <w:color w:val="000000" w:themeColor="text1"/>
          <w:sz w:val="24"/>
        </w:rPr>
        <w:t xml:space="preserve"> </w:t>
      </w:r>
    </w:p>
    <w:p w14:paraId="4CBBD107" w14:textId="77777777" w:rsidR="007C0C20" w:rsidRDefault="007C0C20" w:rsidP="001A2ACF">
      <w:pPr>
        <w:pStyle w:val="eAvropBrd"/>
        <w:ind w:left="0"/>
        <w:rPr>
          <w:rFonts w:ascii="Garamond" w:hAnsi="Garamond"/>
          <w:color w:val="000000" w:themeColor="text1"/>
          <w:sz w:val="24"/>
        </w:rPr>
      </w:pPr>
    </w:p>
    <w:p w14:paraId="3BD65340" w14:textId="52A8C4E2" w:rsidR="0015190F" w:rsidRDefault="0015190F" w:rsidP="0015190F">
      <w:pPr>
        <w:pStyle w:val="Rubrik3"/>
      </w:pPr>
      <w:r>
        <w:t>Ändringar och tillägg</w:t>
      </w:r>
    </w:p>
    <w:p w14:paraId="42CC3100" w14:textId="09CFF236" w:rsidR="0015190F" w:rsidRDefault="0015190F" w:rsidP="0015190F">
      <w:pPr>
        <w:pStyle w:val="eAvropBrd"/>
        <w:ind w:left="0"/>
        <w:rPr>
          <w:rFonts w:ascii="Garamond" w:hAnsi="Garamond"/>
          <w:sz w:val="24"/>
        </w:rPr>
      </w:pPr>
      <w:r w:rsidRPr="0015190F">
        <w:rPr>
          <w:rFonts w:ascii="Garamond" w:hAnsi="Garamond"/>
          <w:sz w:val="24"/>
        </w:rPr>
        <w:t>Ändringar och tillägg till detta ramavtal för den enskilde kan endast ske genom en skriftlig handling undertecknad av behörig företrädare för Beställaren och Leverantören.</w:t>
      </w:r>
      <w:r w:rsidR="007625E2">
        <w:rPr>
          <w:rFonts w:ascii="Garamond" w:hAnsi="Garamond"/>
          <w:sz w:val="24"/>
        </w:rPr>
        <w:br/>
      </w:r>
    </w:p>
    <w:p w14:paraId="30BAAD7D" w14:textId="5D64DA8C" w:rsidR="00283310" w:rsidRDefault="00283310" w:rsidP="00283310">
      <w:pPr>
        <w:pStyle w:val="Rubrik3"/>
      </w:pPr>
      <w:r>
        <w:t xml:space="preserve">Betalning vid </w:t>
      </w:r>
      <w:r w:rsidR="006462ED">
        <w:t>frånvaro</w:t>
      </w:r>
    </w:p>
    <w:p w14:paraId="287A85BD" w14:textId="45282906" w:rsidR="00283310" w:rsidRPr="00283310" w:rsidRDefault="00283310" w:rsidP="00283310">
      <w:pPr>
        <w:pStyle w:val="Rubrik3"/>
        <w:numPr>
          <w:ilvl w:val="0"/>
          <w:numId w:val="0"/>
        </w:numPr>
        <w:rPr>
          <w:sz w:val="22"/>
          <w:szCs w:val="22"/>
        </w:rPr>
      </w:pPr>
      <w:r w:rsidRPr="00283310">
        <w:rPr>
          <w:sz w:val="22"/>
          <w:szCs w:val="22"/>
        </w:rPr>
        <w:t>2.6.6.1 Akut frånvaro</w:t>
      </w:r>
    </w:p>
    <w:p w14:paraId="71838BFE" w14:textId="77777777" w:rsidR="006462ED" w:rsidRPr="004525C9" w:rsidRDefault="006462ED" w:rsidP="006462ED">
      <w:r w:rsidRPr="004525C9">
        <w:t>Vid akut frånvaro vid tillfällig vård på annan vårdinrättning ex sjuk</w:t>
      </w:r>
      <w:r>
        <w:t>hus reduceras dygnspriset med 30</w:t>
      </w:r>
      <w:r w:rsidRPr="004525C9">
        <w:t>% från och med dag 1.</w:t>
      </w:r>
    </w:p>
    <w:p w14:paraId="6FF080F3" w14:textId="77777777" w:rsidR="006462ED" w:rsidRPr="004525C9" w:rsidRDefault="006462ED" w:rsidP="006462ED">
      <w:r w:rsidRPr="004525C9">
        <w:t>Vid frånvaro mer än sju dagar, utgår ingen ersättning från och med åttonde dagen. Frånvaron beräknas från dag ett som har påbörjats före kl. 12.</w:t>
      </w:r>
    </w:p>
    <w:p w14:paraId="06070D93" w14:textId="71C395BC" w:rsidR="001F5327" w:rsidRPr="00283310" w:rsidRDefault="00283310" w:rsidP="00283310">
      <w:pPr>
        <w:pStyle w:val="Rubrik3"/>
        <w:numPr>
          <w:ilvl w:val="0"/>
          <w:numId w:val="0"/>
        </w:numPr>
        <w:rPr>
          <w:sz w:val="22"/>
          <w:szCs w:val="22"/>
        </w:rPr>
      </w:pPr>
      <w:r>
        <w:rPr>
          <w:sz w:val="22"/>
          <w:szCs w:val="22"/>
        </w:rPr>
        <w:lastRenderedPageBreak/>
        <w:t xml:space="preserve">2.6.6.2 </w:t>
      </w:r>
      <w:r w:rsidR="001F5327" w:rsidRPr="00283310">
        <w:rPr>
          <w:sz w:val="22"/>
          <w:szCs w:val="22"/>
        </w:rPr>
        <w:t xml:space="preserve">Vid planerad frånvaro </w:t>
      </w:r>
      <w:r w:rsidR="004525C9" w:rsidRPr="00283310">
        <w:rPr>
          <w:sz w:val="22"/>
          <w:szCs w:val="22"/>
        </w:rPr>
        <w:t xml:space="preserve"> </w:t>
      </w:r>
    </w:p>
    <w:p w14:paraId="57A063EB" w14:textId="3C0EED91" w:rsidR="001F5327" w:rsidRPr="004525C9" w:rsidRDefault="001F5327" w:rsidP="001F5327">
      <w:r w:rsidRPr="004525C9">
        <w:t xml:space="preserve">Vid planerad frånvaro som är känd för Leverantören senast </w:t>
      </w:r>
      <w:r w:rsidR="008A6DE9">
        <w:t xml:space="preserve">två veckor i förväg exempelvis </w:t>
      </w:r>
      <w:r w:rsidRPr="004525C9">
        <w:t xml:space="preserve">vistelse på sjukhus eller </w:t>
      </w:r>
      <w:r w:rsidR="00285297">
        <w:t xml:space="preserve">att </w:t>
      </w:r>
      <w:r w:rsidR="004515C5" w:rsidRPr="004525C9">
        <w:t>den enskilde</w:t>
      </w:r>
      <w:r w:rsidRPr="004525C9">
        <w:t xml:space="preserve"> är hos anhöriga sätts dygnspriset ner med 50% de första sju dagarna.</w:t>
      </w:r>
    </w:p>
    <w:p w14:paraId="28695A37" w14:textId="3BE57D56" w:rsidR="006462ED" w:rsidRDefault="006462ED" w:rsidP="006462ED">
      <w:r w:rsidRPr="004525C9">
        <w:t>Vid frånvaro mer än sju dagar, utgår ingen ersättning från och med åttonde dagen. Frånvaron beräknas från dag ett som har påbörjats före kl. 12.</w:t>
      </w:r>
    </w:p>
    <w:p w14:paraId="7950B5B0" w14:textId="2F6F384B" w:rsidR="006462ED" w:rsidRPr="00283310" w:rsidRDefault="00283310" w:rsidP="00283310">
      <w:pPr>
        <w:pStyle w:val="Rubrik3"/>
        <w:numPr>
          <w:ilvl w:val="0"/>
          <w:numId w:val="0"/>
        </w:numPr>
        <w:rPr>
          <w:sz w:val="22"/>
          <w:szCs w:val="22"/>
        </w:rPr>
      </w:pPr>
      <w:r w:rsidRPr="00283310">
        <w:rPr>
          <w:sz w:val="22"/>
          <w:szCs w:val="22"/>
        </w:rPr>
        <w:t xml:space="preserve">2.6.6.3 </w:t>
      </w:r>
      <w:r w:rsidR="006462ED" w:rsidRPr="00283310">
        <w:rPr>
          <w:sz w:val="22"/>
          <w:szCs w:val="22"/>
        </w:rPr>
        <w:t xml:space="preserve">Vid </w:t>
      </w:r>
      <w:r w:rsidRPr="00283310">
        <w:rPr>
          <w:sz w:val="22"/>
          <w:szCs w:val="22"/>
        </w:rPr>
        <w:t>oplanerad frånvaro</w:t>
      </w:r>
    </w:p>
    <w:p w14:paraId="38DE156B" w14:textId="77777777" w:rsidR="00285297" w:rsidRDefault="00283310" w:rsidP="00283310">
      <w:pPr>
        <w:pStyle w:val="eAvropBrd"/>
        <w:ind w:left="0"/>
        <w:rPr>
          <w:rFonts w:ascii="Garamond" w:hAnsi="Garamond"/>
          <w:sz w:val="24"/>
        </w:rPr>
      </w:pPr>
      <w:r w:rsidRPr="00473E0A">
        <w:rPr>
          <w:rFonts w:ascii="Garamond" w:hAnsi="Garamond"/>
          <w:sz w:val="24"/>
        </w:rPr>
        <w:t xml:space="preserve">När enskild avviker från boendet (oplanerad frånvaro) avslutas placeringen efter tre dygn (vardag räknat) om inte annat har kommit överens. </w:t>
      </w:r>
    </w:p>
    <w:p w14:paraId="39BF3ECB" w14:textId="66A617B8" w:rsidR="001F5327" w:rsidRDefault="001F5327" w:rsidP="001F5327">
      <w:pPr>
        <w:spacing w:before="240"/>
      </w:pPr>
      <w:r w:rsidRPr="004525C9">
        <w:t xml:space="preserve">När enskild avviker från boendet (oplanerad frånvaro) åligger det boendet </w:t>
      </w:r>
      <w:r w:rsidR="00285297" w:rsidRPr="00473E0A">
        <w:t xml:space="preserve">att omedelbart </w:t>
      </w:r>
      <w:r w:rsidRPr="004525C9">
        <w:t>meddela</w:t>
      </w:r>
      <w:r w:rsidRPr="004525C9">
        <w:rPr>
          <w:color w:val="FF0000"/>
        </w:rPr>
        <w:t xml:space="preserve"> </w:t>
      </w:r>
      <w:r w:rsidR="00FD77D2">
        <w:t>ansvarig handläggare hos B</w:t>
      </w:r>
      <w:r w:rsidRPr="004525C9">
        <w:t>eställaren.</w:t>
      </w:r>
      <w:r w:rsidRPr="00FC2ED8">
        <w:t xml:space="preserve"> </w:t>
      </w:r>
    </w:p>
    <w:p w14:paraId="33C75457" w14:textId="7CAE0CD9" w:rsidR="00D876DF" w:rsidRPr="00473E0A" w:rsidRDefault="00D876DF" w:rsidP="001A2ACF">
      <w:pPr>
        <w:pStyle w:val="Rubrik2"/>
      </w:pPr>
      <w:r w:rsidRPr="00473E0A">
        <w:t>Samråd och information</w:t>
      </w:r>
    </w:p>
    <w:p w14:paraId="00FB53F8" w14:textId="623A167C" w:rsidR="00D876DF" w:rsidRPr="00473E0A" w:rsidRDefault="00D876DF" w:rsidP="001A2ACF">
      <w:pPr>
        <w:pStyle w:val="eAvropBrd"/>
        <w:ind w:left="0"/>
        <w:rPr>
          <w:rFonts w:ascii="Garamond" w:hAnsi="Garamond"/>
          <w:sz w:val="24"/>
        </w:rPr>
      </w:pPr>
      <w:r w:rsidRPr="00473E0A">
        <w:rPr>
          <w:rFonts w:ascii="Garamond" w:hAnsi="Garamond"/>
          <w:sz w:val="24"/>
        </w:rPr>
        <w:t>Parterna förbinder sig att samråda i den omfattning som erfordras för genomförandet av tjänsterna. Leve</w:t>
      </w:r>
      <w:r w:rsidR="00FD77D2">
        <w:rPr>
          <w:rFonts w:ascii="Garamond" w:hAnsi="Garamond"/>
          <w:sz w:val="24"/>
        </w:rPr>
        <w:t>rantören ska delta i möten som B</w:t>
      </w:r>
      <w:r w:rsidRPr="00473E0A">
        <w:rPr>
          <w:rFonts w:ascii="Garamond" w:hAnsi="Garamond"/>
          <w:sz w:val="24"/>
        </w:rPr>
        <w:t>eställaren kallar till vid behov.</w:t>
      </w:r>
    </w:p>
    <w:p w14:paraId="44D0F3B6" w14:textId="43C39544" w:rsidR="00D876DF" w:rsidRPr="00473E0A" w:rsidRDefault="00D876DF" w:rsidP="001A2ACF">
      <w:pPr>
        <w:pStyle w:val="eAvropBrd"/>
        <w:ind w:left="0"/>
        <w:rPr>
          <w:rFonts w:ascii="Garamond" w:hAnsi="Garamond"/>
          <w:sz w:val="24"/>
        </w:rPr>
      </w:pPr>
      <w:r w:rsidRPr="00473E0A">
        <w:rPr>
          <w:rFonts w:ascii="Garamond" w:hAnsi="Garamond"/>
          <w:sz w:val="24"/>
        </w:rPr>
        <w:t xml:space="preserve">Parterna är skyldiga att kontinuerligt informera varandra om förhållanden som är av betydelse för tjänsternas genomförande. </w:t>
      </w:r>
    </w:p>
    <w:p w14:paraId="055BE793" w14:textId="22FC00A6" w:rsidR="00D876DF" w:rsidRDefault="00D876DF" w:rsidP="001A2ACF">
      <w:pPr>
        <w:pStyle w:val="eAvropBrd"/>
        <w:ind w:left="0"/>
        <w:rPr>
          <w:rFonts w:ascii="Times" w:hAnsi="Times"/>
          <w:sz w:val="22"/>
        </w:rPr>
      </w:pPr>
      <w:r w:rsidRPr="00473E0A">
        <w:rPr>
          <w:rFonts w:ascii="Garamond" w:hAnsi="Garamond"/>
          <w:sz w:val="24"/>
        </w:rPr>
        <w:t>Leverantören äger inte rätt att i något sammanhang använda u</w:t>
      </w:r>
      <w:r w:rsidR="00FD77D2">
        <w:rPr>
          <w:rFonts w:ascii="Garamond" w:hAnsi="Garamond"/>
          <w:sz w:val="24"/>
        </w:rPr>
        <w:t>ppdrag, uppdragsresultat eller B</w:t>
      </w:r>
      <w:r w:rsidRPr="00473E0A">
        <w:rPr>
          <w:rFonts w:ascii="Garamond" w:hAnsi="Garamond"/>
          <w:sz w:val="24"/>
        </w:rPr>
        <w:t>eställarens namn som referens eller i e</w:t>
      </w:r>
      <w:r w:rsidR="00FD77D2">
        <w:rPr>
          <w:rFonts w:ascii="Garamond" w:hAnsi="Garamond"/>
          <w:sz w:val="24"/>
        </w:rPr>
        <w:t>gen marknadsföring utan B</w:t>
      </w:r>
      <w:r w:rsidRPr="00473E0A">
        <w:rPr>
          <w:rFonts w:ascii="Garamond" w:hAnsi="Garamond"/>
          <w:sz w:val="24"/>
        </w:rPr>
        <w:t>eställarens skriftliga godkännande.</w:t>
      </w:r>
    </w:p>
    <w:p w14:paraId="38EAD883" w14:textId="77777777" w:rsidR="002F4D5B" w:rsidRPr="002F4D5B" w:rsidRDefault="002F4D5B" w:rsidP="00470AD5">
      <w:pPr>
        <w:pStyle w:val="Rubrik1"/>
        <w:framePr w:wrap="notBeside"/>
      </w:pPr>
      <w:r w:rsidRPr="002F4D5B">
        <w:t>Ansvar</w:t>
      </w:r>
    </w:p>
    <w:p w14:paraId="2480DBAE" w14:textId="77777777" w:rsidR="002F4D5B" w:rsidRPr="002F4D5B" w:rsidRDefault="002F4D5B" w:rsidP="00470AD5">
      <w:pPr>
        <w:pStyle w:val="Rubrik2"/>
      </w:pPr>
      <w:r w:rsidRPr="002F4D5B">
        <w:t>Överlåtelse av avtal</w:t>
      </w:r>
    </w:p>
    <w:p w14:paraId="7E785DA0" w14:textId="77777777" w:rsidR="002F4D5B" w:rsidRDefault="002F4D5B" w:rsidP="002F4D5B">
      <w:r w:rsidRPr="002F4D5B">
        <w:t>Avtal får inte överlåtas på annan fysisk eller juridisk person utan Upphandlingscenters skriftliga medgivande.</w:t>
      </w:r>
    </w:p>
    <w:p w14:paraId="6AACC4E6" w14:textId="77777777" w:rsidR="00097615" w:rsidRDefault="00097615" w:rsidP="00470AD5">
      <w:pPr>
        <w:pStyle w:val="Rubrik2"/>
      </w:pPr>
      <w:r>
        <w:t>Dataskyddsförordning GDPR</w:t>
      </w:r>
    </w:p>
    <w:p w14:paraId="0EEB1C50" w14:textId="042FEC83" w:rsidR="002D56A5" w:rsidRDefault="00B47973" w:rsidP="002D56A5">
      <w:pPr>
        <w:rPr>
          <w:rFonts w:cstheme="minorHAnsi"/>
          <w:bCs/>
        </w:rPr>
      </w:pPr>
      <w:r>
        <w:t xml:space="preserve">Personuppgifter skall hanteras i enlighet med gällande lagstiftning. </w:t>
      </w:r>
      <w:r w:rsidR="002D56A5" w:rsidRPr="00097615">
        <w:rPr>
          <w:rFonts w:cstheme="minorHAnsi"/>
          <w:bCs/>
        </w:rPr>
        <w:t>I de fall Leverantören behandlar personuppgifter som omfattas av Dataskyddsförordningen GDPR, för Beställarens räkning, ska Leverantören se till att</w:t>
      </w:r>
      <w:r w:rsidR="002D56A5">
        <w:rPr>
          <w:rFonts w:cstheme="minorHAnsi"/>
          <w:bCs/>
        </w:rPr>
        <w:t xml:space="preserve"> behandlingen inte </w:t>
      </w:r>
      <w:r w:rsidR="002D56A5" w:rsidRPr="00097615">
        <w:rPr>
          <w:rFonts w:cstheme="minorHAnsi"/>
          <w:bCs/>
        </w:rPr>
        <w:t xml:space="preserve">inkräktar på Beställarens möjlighet att leva upp till </w:t>
      </w:r>
      <w:r w:rsidR="002D56A5">
        <w:rPr>
          <w:rFonts w:cstheme="minorHAnsi"/>
          <w:bCs/>
        </w:rPr>
        <w:t>förordningen med kompletterande bestämmelser. Leverantören är skyldig att vidta lämpliga åtgärder för att skydda personuppgifterna mot bland annat integritetsintrång.</w:t>
      </w:r>
    </w:p>
    <w:p w14:paraId="6CA9D1AC" w14:textId="77777777" w:rsidR="002D56A5" w:rsidRPr="00097615" w:rsidRDefault="002D56A5" w:rsidP="002D56A5">
      <w:pPr>
        <w:rPr>
          <w:rFonts w:cstheme="minorHAnsi"/>
          <w:bCs/>
          <w:sz w:val="22"/>
        </w:rPr>
      </w:pPr>
      <w:r>
        <w:rPr>
          <w:rFonts w:cstheme="minorHAnsi"/>
          <w:bCs/>
        </w:rPr>
        <w:t>Personuppgiftsbiträdesavtal ska då undertecknas/upprättas vid avtalsstart med Beställaren/Beställarna, eller så snart det blir känt att personuppgifter ska hanteras av Leverantören.</w:t>
      </w:r>
    </w:p>
    <w:p w14:paraId="0F219D89" w14:textId="2DC70AF7" w:rsidR="00097615" w:rsidRPr="00097615" w:rsidRDefault="00097615" w:rsidP="00097615">
      <w:pPr>
        <w:rPr>
          <w:rFonts w:cstheme="minorHAnsi"/>
          <w:bCs/>
        </w:rPr>
      </w:pPr>
      <w:r w:rsidRPr="00097615">
        <w:rPr>
          <w:rFonts w:cstheme="minorHAnsi"/>
          <w:bCs/>
        </w:rPr>
        <w:t>Personuppgiftsbiträdesavtalet baseras på SK</w:t>
      </w:r>
      <w:r w:rsidR="004A3D83">
        <w:rPr>
          <w:rFonts w:cstheme="minorHAnsi"/>
          <w:bCs/>
        </w:rPr>
        <w:t>R</w:t>
      </w:r>
      <w:r w:rsidRPr="00097615">
        <w:rPr>
          <w:rFonts w:cstheme="minorHAnsi"/>
          <w:bCs/>
        </w:rPr>
        <w:t xml:space="preserve">:s (Sveriges kommuner och </w:t>
      </w:r>
      <w:r w:rsidR="00013E16">
        <w:rPr>
          <w:rFonts w:cstheme="minorHAnsi"/>
          <w:bCs/>
        </w:rPr>
        <w:t>regioner</w:t>
      </w:r>
      <w:r w:rsidRPr="00097615">
        <w:rPr>
          <w:rFonts w:cstheme="minorHAnsi"/>
          <w:bCs/>
        </w:rPr>
        <w:t>) mall, detta ska i sin helhet accepteras av Leverantören.</w:t>
      </w:r>
    </w:p>
    <w:p w14:paraId="17A54081" w14:textId="319A763E" w:rsidR="00097615" w:rsidRDefault="00150DEC" w:rsidP="00097615">
      <w:pPr>
        <w:rPr>
          <w:rStyle w:val="Hyperlnk"/>
        </w:rPr>
      </w:pPr>
      <w:hyperlink r:id="rId15" w:history="1">
        <w:r w:rsidR="00097615" w:rsidRPr="00BF39C1">
          <w:rPr>
            <w:rStyle w:val="Hyperlnk"/>
          </w:rPr>
          <w:t>Mall PUB-avtal SK</w:t>
        </w:r>
        <w:r w:rsidR="004A3D83" w:rsidRPr="00BF39C1">
          <w:rPr>
            <w:rStyle w:val="Hyperlnk"/>
          </w:rPr>
          <w:t>R</w:t>
        </w:r>
      </w:hyperlink>
    </w:p>
    <w:p w14:paraId="5DA3B308" w14:textId="3DC8E087" w:rsidR="002D56A5" w:rsidRPr="00097615" w:rsidRDefault="002D56A5" w:rsidP="0055747D">
      <w:r w:rsidRPr="002D56A5">
        <w:lastRenderedPageBreak/>
        <w:t>I de fall båda parter var för sig självständigt ansvarar för personuppgiftshanteringen gäller inte detta avtalsvillkor</w:t>
      </w:r>
      <w:r>
        <w:t>.</w:t>
      </w:r>
    </w:p>
    <w:p w14:paraId="39A84887" w14:textId="7E3EDC42" w:rsidR="002F4D5B" w:rsidRPr="002F4D5B" w:rsidRDefault="002F4D5B" w:rsidP="0055747D">
      <w:pPr>
        <w:pStyle w:val="Rubrik2"/>
      </w:pPr>
      <w:r w:rsidRPr="002F4D5B">
        <w:t>Underleverantör</w:t>
      </w:r>
    </w:p>
    <w:p w14:paraId="07F332F5" w14:textId="2BEAD4AB" w:rsidR="002F4D5B" w:rsidRDefault="002F4D5B" w:rsidP="002F4D5B">
      <w:r w:rsidRPr="002F4D5B">
        <w:t>För underleverantör gäller samma villkor och krav som för Leverantören. Det är Leverantörens skyldighet att informera underleverantören vilka villkor som gäller.</w:t>
      </w:r>
    </w:p>
    <w:p w14:paraId="1FDBE26A" w14:textId="77777777" w:rsidR="00B7667C" w:rsidRPr="00B7667C" w:rsidRDefault="00B7667C" w:rsidP="00B7667C">
      <w:r w:rsidRPr="00B7667C">
        <w:t>Underleverantörer får inte anlitas utan Beställarens skriftliga godkännande.</w:t>
      </w:r>
    </w:p>
    <w:p w14:paraId="6AED78DD" w14:textId="5E455C60" w:rsidR="00B7667C" w:rsidRPr="002F4D5B" w:rsidRDefault="00B7667C" w:rsidP="002F4D5B">
      <w:r w:rsidRPr="00B7667C">
        <w:t>Gäller även vid byte av underleverantör.</w:t>
      </w:r>
    </w:p>
    <w:p w14:paraId="0DE7AE19" w14:textId="77777777" w:rsidR="002F4D5B" w:rsidRPr="002F4D5B" w:rsidRDefault="002F4D5B" w:rsidP="00470AD5">
      <w:pPr>
        <w:pStyle w:val="Rubrik2"/>
      </w:pPr>
      <w:r w:rsidRPr="002F4D5B">
        <w:t>Fel och brister</w:t>
      </w:r>
    </w:p>
    <w:p w14:paraId="2845D48E" w14:textId="1E175394" w:rsidR="00721F54" w:rsidRDefault="000537CB" w:rsidP="00721F54">
      <w:r>
        <w:t>Om tjänsten är behäftad med fel, ska Beställaren anmäla</w:t>
      </w:r>
      <w:r w:rsidR="00866605">
        <w:t xml:space="preserve"> felet hos Leverantören inom skälig tid efter att felet upptäckts. Leverantören är då skyldig att </w:t>
      </w:r>
      <w:r>
        <w:t>meddela Beställaren att felanmälan mottagits och att utreda samt åtgärda felet utan fördröjning.</w:t>
      </w:r>
      <w:r w:rsidR="00866605">
        <w:t xml:space="preserve"> </w:t>
      </w:r>
    </w:p>
    <w:p w14:paraId="733F6796" w14:textId="37C10574" w:rsidR="00DC3816" w:rsidRDefault="00DC3816" w:rsidP="00DC3816">
      <w:r>
        <w:t>Leverantören ska informera Upphandlingscenter och Beställaren vid eventuella förändringar av Leverantörens IVO- tillstånd.</w:t>
      </w:r>
    </w:p>
    <w:p w14:paraId="6275D2E3" w14:textId="2D128F43" w:rsidR="00DC3816" w:rsidRPr="00E20723" w:rsidRDefault="00DC3816" w:rsidP="00DC3816">
      <w:r>
        <w:t xml:space="preserve">Leverantören ansvarar för att vidarebefordra rapporter från tillsyn av verksamheten, genomförda </w:t>
      </w:r>
      <w:r w:rsidRPr="00E20723">
        <w:t>av IVO</w:t>
      </w:r>
      <w:r>
        <w:t xml:space="preserve"> till Upphandlingscenter och berörd Beställare</w:t>
      </w:r>
      <w:r w:rsidRPr="00E20723">
        <w:t>.</w:t>
      </w:r>
    </w:p>
    <w:p w14:paraId="19F81B16" w14:textId="77777777" w:rsidR="002F4D5B" w:rsidRDefault="002F4D5B" w:rsidP="00470AD5">
      <w:pPr>
        <w:pStyle w:val="Rubrik2"/>
      </w:pPr>
      <w:r w:rsidRPr="002F4D5B">
        <w:t>Försäkring</w:t>
      </w:r>
    </w:p>
    <w:p w14:paraId="6E639C8A" w14:textId="0046EF04" w:rsidR="008F5D9E" w:rsidRDefault="002F4D5B" w:rsidP="008F5D9E">
      <w:r w:rsidRPr="002F4D5B">
        <w:t xml:space="preserve">Leverantören ska under hela avtalstiden upprätthålla gällande företagsförsäkring och ansvarsförsäkring anpassad för det aktuella avtalsområdet samt på </w:t>
      </w:r>
      <w:r w:rsidR="008D350B">
        <w:t>begäran</w:t>
      </w:r>
      <w:r w:rsidRPr="002F4D5B">
        <w:t xml:space="preserve"> kunna uppvisa bevis på betalda försäkringsavgifter. </w:t>
      </w:r>
      <w:r w:rsidR="008F5D9E" w:rsidRPr="002F4D5B">
        <w:t>Om Leverantören inte tecknat försäkring eller betalat avgift för försäkring är detta grund för omedelbar hävning av avtal.</w:t>
      </w:r>
    </w:p>
    <w:p w14:paraId="2AB2BD94" w14:textId="47BDAEC0" w:rsidR="008F5D9E" w:rsidRPr="008C6801" w:rsidRDefault="008F5D9E" w:rsidP="008F5D9E">
      <w:r w:rsidRPr="008C6801">
        <w:t xml:space="preserve">Bevis om att ovan nämnda försäkring har tecknats ska på anmodan (under avtalstiden) kunna uppvisas till Beställaren ex. genom bevis på betalda försäkringsavgifter. </w:t>
      </w:r>
    </w:p>
    <w:p w14:paraId="298031F8" w14:textId="65C39DD7" w:rsidR="00045A5A" w:rsidRPr="008C6801" w:rsidRDefault="00045A5A" w:rsidP="00283310">
      <w:pPr>
        <w:pStyle w:val="Liststycke"/>
        <w:numPr>
          <w:ilvl w:val="0"/>
          <w:numId w:val="14"/>
        </w:numPr>
      </w:pPr>
      <w:r w:rsidRPr="008C6801">
        <w:t xml:space="preserve">Leverantörens ansvar för personskada begränsas till 10 </w:t>
      </w:r>
      <w:r w:rsidR="008F5D9E" w:rsidRPr="008C6801">
        <w:t>Mkr per skadetillfälle och 20 M</w:t>
      </w:r>
      <w:r w:rsidR="00FC2FC5">
        <w:t>kr per år</w:t>
      </w:r>
    </w:p>
    <w:p w14:paraId="3609BAA4" w14:textId="13915A46" w:rsidR="00045A5A" w:rsidRPr="008C6801" w:rsidRDefault="00045A5A" w:rsidP="00283310">
      <w:pPr>
        <w:pStyle w:val="Liststycke"/>
        <w:numPr>
          <w:ilvl w:val="0"/>
          <w:numId w:val="14"/>
        </w:numPr>
      </w:pPr>
      <w:r w:rsidRPr="008C6801">
        <w:t>Leverantörens ansvar för annan skada än vad som anges ovan, eller som regleras i Personuppgiftsbiträdesavtalet mel</w:t>
      </w:r>
      <w:r w:rsidR="008F5D9E" w:rsidRPr="008C6801">
        <w:t>lan parterna, begränsas till 2 M</w:t>
      </w:r>
      <w:r w:rsidRPr="008C6801">
        <w:t xml:space="preserve">kr per skadetillfälle och </w:t>
      </w:r>
      <w:r w:rsidR="00FC2FC5">
        <w:t>år</w:t>
      </w:r>
    </w:p>
    <w:p w14:paraId="1C491AB0" w14:textId="23DC377D" w:rsidR="008F5D9E" w:rsidRPr="008C6801" w:rsidRDefault="00045A5A" w:rsidP="00283310">
      <w:pPr>
        <w:pStyle w:val="Liststycke"/>
        <w:numPr>
          <w:ilvl w:val="0"/>
          <w:numId w:val="14"/>
        </w:numPr>
      </w:pPr>
      <w:r w:rsidRPr="008C6801">
        <w:t>Ovan angivna begränsningar gäller inte om Leverantören har orsak</w:t>
      </w:r>
      <w:r w:rsidR="00FC2FC5">
        <w:t>at skada genom grov vårdslöshet</w:t>
      </w:r>
    </w:p>
    <w:p w14:paraId="2E4A08F9" w14:textId="10948436" w:rsidR="00045A5A" w:rsidRPr="008C6801" w:rsidRDefault="008F5D9E" w:rsidP="008C6801">
      <w:r w:rsidRPr="008C6801">
        <w:t xml:space="preserve">Beställaren är inte skyldig att ersätta Leverantören för skador på dennes personal, anläggning och material gjorda </w:t>
      </w:r>
      <w:r w:rsidRPr="004515C5">
        <w:t xml:space="preserve">av </w:t>
      </w:r>
      <w:r w:rsidR="004515C5" w:rsidRPr="004515C5">
        <w:t>den enskilde på</w:t>
      </w:r>
      <w:r w:rsidRPr="008C6801">
        <w:t xml:space="preserve"> vård- och omsorgsboendet.  </w:t>
      </w:r>
    </w:p>
    <w:p w14:paraId="34659EC4" w14:textId="3FBDDADC" w:rsidR="002F4D5B" w:rsidRPr="002F4D5B" w:rsidRDefault="002F4D5B" w:rsidP="00470AD5">
      <w:pPr>
        <w:pStyle w:val="Rubrik2"/>
      </w:pPr>
      <w:r w:rsidRPr="002F4D5B">
        <w:t>Skatter</w:t>
      </w:r>
    </w:p>
    <w:p w14:paraId="398895D4" w14:textId="77777777" w:rsidR="002F4D5B" w:rsidRPr="002F4D5B" w:rsidRDefault="002F4D5B" w:rsidP="002F4D5B">
      <w:r w:rsidRPr="002F4D5B">
        <w:t xml:space="preserve">Leverantör förbinder sig att under hela avtalstiden fullgöra sina skyldigheter avseende socialförsäkringsavgifter och skatter. Leverantören garanterar att dess underleverantörer uppfyller </w:t>
      </w:r>
      <w:r w:rsidRPr="002F4D5B">
        <w:lastRenderedPageBreak/>
        <w:t xml:space="preserve">motsvarande krav. Upphandlingscenter kommer löpande, med hjälp av Skatteverket kontrollera att Leverantören fullgör sina skyldigheter avseende socialförsäkringsavgifter och skatter. </w:t>
      </w:r>
    </w:p>
    <w:p w14:paraId="47E8AA93" w14:textId="77777777" w:rsidR="002F4D5B" w:rsidRPr="002F4D5B" w:rsidRDefault="002F4D5B" w:rsidP="00470AD5">
      <w:pPr>
        <w:pStyle w:val="Rubrik2"/>
      </w:pPr>
      <w:r w:rsidRPr="002F4D5B">
        <w:t xml:space="preserve">Force majeure </w:t>
      </w:r>
    </w:p>
    <w:p w14:paraId="367F65E0" w14:textId="7175A3B7" w:rsidR="0038630C" w:rsidRPr="0038630C" w:rsidRDefault="0038630C" w:rsidP="0038630C">
      <w:pPr>
        <w:rPr>
          <w:rFonts w:cs="Times New Roman"/>
        </w:rPr>
      </w:pPr>
      <w:r w:rsidRPr="0038630C">
        <w:rPr>
          <w:rFonts w:cs="Times New Roman"/>
        </w:rPr>
        <w:t>Part är befriad från fullgörande av sina åtaganden enligt detta avtal, om denne visar att det inträffat ett hinder utanför dennes kontroll som parten inte skäligen kunde förväntas ha räknat med vid avtalets ingående och vars följder parten inte skäligen kunde ha undvikit eller övervunnit. Som hinder ska anses omständigheter såsom krig, naturkatastrof, konflikt på arbetsmarknaden, myndighetsåtgärd</w:t>
      </w:r>
      <w:r w:rsidR="00180A38">
        <w:rPr>
          <w:rFonts w:cs="Times New Roman"/>
        </w:rPr>
        <w:t>, lag</w:t>
      </w:r>
      <w:r w:rsidRPr="0038630C">
        <w:rPr>
          <w:rFonts w:cs="Times New Roman"/>
        </w:rPr>
        <w:t xml:space="preserve"> och därmed jämställd händelse. Omständighet som grundar sig i Leverantörens brott mot kollektivavtal eller lag utgör inte grund för ansvarsbefrielse. </w:t>
      </w:r>
    </w:p>
    <w:p w14:paraId="5074194B" w14:textId="633AE683" w:rsidR="002F4D5B" w:rsidRDefault="0038630C" w:rsidP="0038630C">
      <w:pPr>
        <w:rPr>
          <w:rFonts w:cs="Times New Roman"/>
        </w:rPr>
      </w:pPr>
      <w:r w:rsidRPr="0038630C">
        <w:rPr>
          <w:rFonts w:cs="Times New Roman"/>
        </w:rPr>
        <w:t>För att få befrielse enligt första stycket ska part utan dröjsmål meddela den andra parten om det föreligger omständighet som kan medföra att denna bestämmelse ska tillämpas. Så snart hindret upphör ska åtaga</w:t>
      </w:r>
      <w:r>
        <w:rPr>
          <w:rFonts w:cs="Times New Roman"/>
        </w:rPr>
        <w:t>ndet fullgöras på avtalat sätt.</w:t>
      </w:r>
    </w:p>
    <w:p w14:paraId="10FB20B3" w14:textId="77777777" w:rsidR="002F4D5B" w:rsidRDefault="002F4D5B" w:rsidP="00470AD5">
      <w:pPr>
        <w:pStyle w:val="Rubrik2"/>
      </w:pPr>
      <w:r w:rsidRPr="002F4D5B">
        <w:t>Åtgärdsplan vid avvikelser</w:t>
      </w:r>
    </w:p>
    <w:p w14:paraId="0D222D53" w14:textId="77777777" w:rsidR="00F57C80" w:rsidRDefault="00F57C80" w:rsidP="00F57C80">
      <w:pPr>
        <w:pStyle w:val="Rubrik3"/>
      </w:pPr>
      <w:r>
        <w:t>Dröjsmål</w:t>
      </w:r>
    </w:p>
    <w:p w14:paraId="733188C3" w14:textId="7FF5DD37" w:rsidR="00F675DB" w:rsidRDefault="00F675DB" w:rsidP="00F675DB">
      <w:r>
        <w:t>Om Leverantören ser att det kommer uppstå dröjsmål i utförandet av tjänsten ska denna genast underrätta Beställaren skriftligt om dröjsmålet och följderna därav. Leverantören ska också meddela ny tidpunkt för utförande av tjänsten.</w:t>
      </w:r>
      <w:r w:rsidR="00F21498">
        <w:t xml:space="preserve"> </w:t>
      </w:r>
    </w:p>
    <w:p w14:paraId="4E58A935" w14:textId="6CDC53A9" w:rsidR="000537CB" w:rsidRDefault="00F675DB" w:rsidP="00F675DB">
      <w:r>
        <w:t>Om förseningen</w:t>
      </w:r>
      <w:r w:rsidR="00135232">
        <w:t xml:space="preserve"> är väsentlig eller</w:t>
      </w:r>
      <w:r>
        <w:t xml:space="preserve"> har väsentlig påverkan på Beställarens verksamhet har denne rätt att på Leverantörens bekostnad skaffa</w:t>
      </w:r>
      <w:r w:rsidR="006955B7">
        <w:t xml:space="preserve"> motsvarande tjänst från annan L</w:t>
      </w:r>
      <w:r>
        <w:t>everantör till dess att Lev</w:t>
      </w:r>
      <w:r w:rsidR="00135232">
        <w:t>erantören återigen kan utföra tjänsten.</w:t>
      </w:r>
    </w:p>
    <w:p w14:paraId="3A604692" w14:textId="1807BD99" w:rsidR="00721F54" w:rsidRDefault="00721F54" w:rsidP="00F675DB">
      <w:r w:rsidRPr="002F4D5B">
        <w:t xml:space="preserve">Leverantören ska ersätta Beställaren för uppkomna merkostnader som </w:t>
      </w:r>
      <w:r>
        <w:t>förseningen</w:t>
      </w:r>
      <w:r w:rsidRPr="002F4D5B">
        <w:t xml:space="preserve"> orsakat.</w:t>
      </w:r>
    </w:p>
    <w:p w14:paraId="0FB19CFE" w14:textId="77777777" w:rsidR="002F4D5B" w:rsidRPr="002F4D5B" w:rsidRDefault="002F4D5B" w:rsidP="00470AD5">
      <w:pPr>
        <w:pStyle w:val="Rubrik3"/>
        <w:rPr>
          <w:color w:val="FF0000"/>
        </w:rPr>
      </w:pPr>
      <w:r w:rsidRPr="002F4D5B">
        <w:t xml:space="preserve">Skadestånd </w:t>
      </w:r>
    </w:p>
    <w:p w14:paraId="2BE08328" w14:textId="77777777" w:rsidR="002F4D5B" w:rsidRDefault="00B34E54" w:rsidP="002F4D5B">
      <w:r>
        <w:t>Fullgör part inte sina skyldigheter enligt detta avtal har motparten rätt till ersättning för skada (skadestånd). Skadeståndet omfattar inte ersättning för indirekt skada såvida inte grov vårdslöshet ligger den felande parten till last.</w:t>
      </w:r>
    </w:p>
    <w:p w14:paraId="58425B75" w14:textId="212D0654" w:rsidR="00047097" w:rsidRDefault="00047097" w:rsidP="00047097">
      <w:pPr>
        <w:pStyle w:val="Rubrik3"/>
      </w:pPr>
      <w:r w:rsidRPr="00047097">
        <w:t>Uppsägning</w:t>
      </w:r>
      <w:r w:rsidR="00E818B9">
        <w:t xml:space="preserve"> av avtalet</w:t>
      </w:r>
    </w:p>
    <w:p w14:paraId="60522165" w14:textId="32FFBF4E" w:rsidR="00047097" w:rsidRDefault="00047097" w:rsidP="00047097">
      <w:r w:rsidRPr="00047097">
        <w:t>Under avtalsperioden har Upphandlingscenter rätt att skriftligen säga upp avtalet till upphörande med tre månaders uppsägning</w:t>
      </w:r>
      <w:r>
        <w:t>.</w:t>
      </w:r>
    </w:p>
    <w:p w14:paraId="6351A193" w14:textId="77777777" w:rsidR="0049590B" w:rsidRPr="00F849E4" w:rsidRDefault="0049590B" w:rsidP="00283310">
      <w:pPr>
        <w:pStyle w:val="Liststycke"/>
        <w:numPr>
          <w:ilvl w:val="0"/>
          <w:numId w:val="9"/>
        </w:numPr>
      </w:pPr>
      <w:r w:rsidRPr="00F849E4">
        <w:t>När uppföljningsmöten vid problem inte finner gemensam lösning på förbättringsåtgärder där en gemensam åtgärdsplan tagits fram</w:t>
      </w:r>
    </w:p>
    <w:p w14:paraId="2D0A2C4F" w14:textId="5DF230B9" w:rsidR="002F4D5B" w:rsidRPr="002F4D5B" w:rsidRDefault="002F4D5B" w:rsidP="00470AD5">
      <w:pPr>
        <w:pStyle w:val="Rubrik3"/>
      </w:pPr>
      <w:r w:rsidRPr="002F4D5B">
        <w:t>Hävning</w:t>
      </w:r>
    </w:p>
    <w:p w14:paraId="7A528EDD" w14:textId="77777777" w:rsidR="002F4D5B" w:rsidRPr="002F4D5B" w:rsidRDefault="002F4D5B" w:rsidP="002F4D5B">
      <w:r w:rsidRPr="002F4D5B">
        <w:t xml:space="preserve">Part får häva ingånget avtal om motparten inte fullgör sina åtaganden och avtalsbrottet är av väsentlig betydelse. </w:t>
      </w:r>
    </w:p>
    <w:p w14:paraId="4C3FAF04" w14:textId="77777777" w:rsidR="002F4D5B" w:rsidRPr="002F4D5B" w:rsidRDefault="002F4D5B" w:rsidP="002F4D5B">
      <w:r w:rsidRPr="002F4D5B">
        <w:t>Upphandlingscenter har i följande fall rätt att häva avtalet, utan att motparten kan ställa krav på ersättning</w:t>
      </w:r>
      <w:r w:rsidR="002B50AB">
        <w:t xml:space="preserve"> om</w:t>
      </w:r>
      <w:r w:rsidRPr="002F4D5B">
        <w:t>:</w:t>
      </w:r>
    </w:p>
    <w:p w14:paraId="422A1AAC" w14:textId="6B852849" w:rsidR="002F4D5B" w:rsidRPr="002F4D5B" w:rsidRDefault="002F4D5B" w:rsidP="00283310">
      <w:pPr>
        <w:numPr>
          <w:ilvl w:val="0"/>
          <w:numId w:val="6"/>
        </w:numPr>
        <w:spacing w:before="120"/>
        <w:contextualSpacing/>
      </w:pPr>
      <w:r w:rsidRPr="002F4D5B">
        <w:t>Leverantören försätts i konkurs, likvidation eller kommer på sådant obestånd att han inte kan förv</w:t>
      </w:r>
      <w:r w:rsidR="00416152">
        <w:t>äntas fullgöra sina åligganden</w:t>
      </w:r>
    </w:p>
    <w:p w14:paraId="644E19BD" w14:textId="195B284E" w:rsidR="002F4D5B" w:rsidRPr="002F4D5B" w:rsidRDefault="002F4D5B" w:rsidP="00283310">
      <w:pPr>
        <w:numPr>
          <w:ilvl w:val="0"/>
          <w:numId w:val="6"/>
        </w:numPr>
        <w:spacing w:before="120"/>
        <w:contextualSpacing/>
      </w:pPr>
      <w:r w:rsidRPr="002F4D5B">
        <w:lastRenderedPageBreak/>
        <w:t xml:space="preserve">Leverantören har misskött inbetalning </w:t>
      </w:r>
      <w:r w:rsidR="00416152">
        <w:t>av skatter och sociala avgifter</w:t>
      </w:r>
      <w:r w:rsidRPr="002F4D5B">
        <w:t xml:space="preserve"> </w:t>
      </w:r>
    </w:p>
    <w:p w14:paraId="233E5F06" w14:textId="41BA3FD4" w:rsidR="002F4D5B" w:rsidRDefault="002F4D5B" w:rsidP="00283310">
      <w:pPr>
        <w:numPr>
          <w:ilvl w:val="0"/>
          <w:numId w:val="6"/>
        </w:numPr>
        <w:spacing w:before="120"/>
        <w:contextualSpacing/>
      </w:pPr>
      <w:r w:rsidRPr="002F4D5B">
        <w:t>Leverantören köps upp eller att ägarförhållanden väse</w:t>
      </w:r>
      <w:r w:rsidR="00416152">
        <w:t>ntligt förändras</w:t>
      </w:r>
    </w:p>
    <w:p w14:paraId="2AD02A38" w14:textId="1BB94D69" w:rsidR="00135232" w:rsidRPr="002F4D5B" w:rsidRDefault="00135232" w:rsidP="00283310">
      <w:pPr>
        <w:numPr>
          <w:ilvl w:val="0"/>
          <w:numId w:val="6"/>
        </w:numPr>
        <w:spacing w:before="120"/>
        <w:contextualSpacing/>
      </w:pPr>
      <w:r>
        <w:t>Leverantören är väsentligt försenad elle</w:t>
      </w:r>
      <w:r w:rsidR="00416152">
        <w:t>r om dröjsmålen är återkommande</w:t>
      </w:r>
    </w:p>
    <w:p w14:paraId="1F2FD026" w14:textId="5186EA29" w:rsidR="00BA7254" w:rsidRDefault="002F4D5B" w:rsidP="00283310">
      <w:pPr>
        <w:numPr>
          <w:ilvl w:val="0"/>
          <w:numId w:val="6"/>
        </w:numPr>
        <w:spacing w:before="120"/>
        <w:contextualSpacing/>
      </w:pPr>
      <w:r w:rsidRPr="002F4D5B">
        <w:t>Leverantören bryter mot annan del av avtalet och det kan anses vara av vikt för Beställ</w:t>
      </w:r>
      <w:r w:rsidR="00416152">
        <w:t>aren att bestämmelsen efterlevs</w:t>
      </w:r>
    </w:p>
    <w:p w14:paraId="3FD218DC" w14:textId="5A8B6EFE" w:rsidR="00B71A7F" w:rsidRDefault="00A9695D" w:rsidP="00283310">
      <w:pPr>
        <w:numPr>
          <w:ilvl w:val="0"/>
          <w:numId w:val="6"/>
        </w:numPr>
        <w:spacing w:before="120"/>
        <w:contextualSpacing/>
      </w:pPr>
      <w:r>
        <w:t>När f</w:t>
      </w:r>
      <w:r w:rsidR="00B71A7F" w:rsidRPr="002E034D">
        <w:t xml:space="preserve">akturaavsändare och organisationsnummer </w:t>
      </w:r>
      <w:r w:rsidR="00B71A7F">
        <w:t xml:space="preserve">inte </w:t>
      </w:r>
      <w:r w:rsidR="00B71A7F" w:rsidRPr="002E034D">
        <w:t>överensstämm</w:t>
      </w:r>
      <w:r w:rsidR="00B71A7F">
        <w:t>er</w:t>
      </w:r>
      <w:r w:rsidR="00B71A7F" w:rsidRPr="002E034D">
        <w:t xml:space="preserve"> med godkänd utförare</w:t>
      </w:r>
    </w:p>
    <w:p w14:paraId="20402D7B" w14:textId="3EA1E1A4" w:rsidR="00BA7254" w:rsidRPr="00F849E4" w:rsidRDefault="00BA7254" w:rsidP="00283310">
      <w:pPr>
        <w:numPr>
          <w:ilvl w:val="0"/>
          <w:numId w:val="6"/>
        </w:numPr>
        <w:spacing w:before="120"/>
        <w:contextualSpacing/>
      </w:pPr>
      <w:r w:rsidRPr="00F849E4">
        <w:t>Leverantören inte längre har giltiga tillstånd från IVO</w:t>
      </w:r>
    </w:p>
    <w:p w14:paraId="0EF0734C" w14:textId="2604ABE3" w:rsidR="002F4D5B" w:rsidRDefault="00BA7254" w:rsidP="00283310">
      <w:pPr>
        <w:numPr>
          <w:ilvl w:val="0"/>
          <w:numId w:val="6"/>
        </w:numPr>
        <w:spacing w:before="120"/>
        <w:contextualSpacing/>
      </w:pPr>
      <w:r w:rsidRPr="00F849E4">
        <w:t>Leverantören blir anmäld till IVO för fel i yrkesutövningen och Beställaren anser detta vara allvarligt</w:t>
      </w:r>
      <w:r w:rsidR="00B936DD">
        <w:br/>
      </w:r>
    </w:p>
    <w:p w14:paraId="160DBF96" w14:textId="77777777" w:rsidR="002F4D5B" w:rsidRDefault="002F4D5B" w:rsidP="002F4D5B">
      <w:r w:rsidRPr="002F4D5B">
        <w:t>Hävs avtalet enligt ovan, är Leverantören ersättningsskyldig för den skada (kostnadsökning m.m.) som avtalsbrottet förorsakat.</w:t>
      </w:r>
    </w:p>
    <w:p w14:paraId="287B91A5" w14:textId="77777777" w:rsidR="005325F2" w:rsidRPr="00DE3680" w:rsidRDefault="005325F2" w:rsidP="005325F2">
      <w:pPr>
        <w:pStyle w:val="Rubrik3"/>
      </w:pPr>
      <w:r w:rsidRPr="00DE3680">
        <w:t>Avslutande av kontrakt och ramavtal</w:t>
      </w:r>
    </w:p>
    <w:p w14:paraId="278F2A9A" w14:textId="77777777" w:rsidR="005325F2" w:rsidRPr="00DE3680" w:rsidRDefault="005325F2" w:rsidP="005325F2">
      <w:r w:rsidRPr="00DE3680">
        <w:t>Upphandlingscenter har rätt att avsluta kontraktet eller ramavtalet om:</w:t>
      </w:r>
    </w:p>
    <w:p w14:paraId="3A62309C" w14:textId="271B03BF" w:rsidR="005325F2" w:rsidRPr="00DE3680" w:rsidRDefault="009036F2" w:rsidP="005325F2">
      <w:r>
        <w:t>1. A</w:t>
      </w:r>
      <w:r w:rsidR="005325F2" w:rsidRPr="00DE3680">
        <w:t>vtalet har varit föremål för en ändring som inte är tillå</w:t>
      </w:r>
      <w:r>
        <w:t>ten enligt 17 kap. 9–14 § § LOU</w:t>
      </w:r>
    </w:p>
    <w:p w14:paraId="63EFA244" w14:textId="117B5965" w:rsidR="005325F2" w:rsidRPr="00DE3680" w:rsidRDefault="009036F2" w:rsidP="005325F2">
      <w:r>
        <w:t>2. L</w:t>
      </w:r>
      <w:r w:rsidR="005325F2" w:rsidRPr="00DE3680">
        <w:t>everantören vid tidpunkten för beslutet att tilldela kontraktet eller att ingå ramavtalet befann sig i någon av de situationer som avses i 13 kap. 1 § och borde ha uteslutits från upphandlinge</w:t>
      </w:r>
      <w:r>
        <w:t>n enligt den bestämmelsen</w:t>
      </w:r>
    </w:p>
    <w:p w14:paraId="7B31037C" w14:textId="3D51E8E6" w:rsidR="00884FDD" w:rsidRPr="002F4D5B" w:rsidRDefault="005325F2" w:rsidP="005325F2">
      <w:r w:rsidRPr="00DE3680">
        <w:t>3. Europeiska unionens domstol i ett förfarande enligt artikel 258 i fördraget om Europeiska unionens funktionssätt (EUF-fördraget) finner att Sverige, genom att låta den upphandlande myndigheten ingå kontraktet eller ramavtalet, allvarligt har åsidosatt sina skyldigheter enligt fördraget avseende Europeiska unionen, EUF-fördraget eller Europaparlamentets och rådets direktiv 2014/24/EU av den 26 februari 2014 om offentlig upphandling och om upphävande av direktiv 2004/18/EG</w:t>
      </w:r>
    </w:p>
    <w:p w14:paraId="225FA4C2" w14:textId="77777777" w:rsidR="002F4D5B" w:rsidRPr="002F4D5B" w:rsidRDefault="002F4D5B" w:rsidP="00470AD5">
      <w:pPr>
        <w:pStyle w:val="Rubrik3"/>
      </w:pPr>
      <w:r w:rsidRPr="002F4D5B">
        <w:t>Skada</w:t>
      </w:r>
    </w:p>
    <w:p w14:paraId="4A4071EE" w14:textId="50DFF826" w:rsidR="002F4D5B" w:rsidRDefault="002F4D5B" w:rsidP="002F4D5B">
      <w:r w:rsidRPr="002F4D5B">
        <w:t xml:space="preserve">Leverantören är ansvarig gentemot Beställaren för skador som Leverantören orsakat. Leverantören ska omgående meddela Beställaren om sådan skada inträffat. Leverantören ska svara för de merkostnader/skadestånd som </w:t>
      </w:r>
      <w:r w:rsidR="00C653D6">
        <w:t>skadan orsakat</w:t>
      </w:r>
      <w:r w:rsidRPr="002F4D5B">
        <w:t>.</w:t>
      </w:r>
    </w:p>
    <w:p w14:paraId="3AE64280" w14:textId="77777777" w:rsidR="002F4D5B" w:rsidRPr="002F4D5B" w:rsidRDefault="002F4D5B" w:rsidP="00470AD5">
      <w:pPr>
        <w:pStyle w:val="Rubrik2"/>
      </w:pPr>
      <w:r w:rsidRPr="002F4D5B">
        <w:t>Tvist</w:t>
      </w:r>
    </w:p>
    <w:p w14:paraId="4EA0F707" w14:textId="6505E8BA" w:rsidR="00150DEC" w:rsidRPr="002F4D5B" w:rsidRDefault="002F4D5B" w:rsidP="002F4D5B">
      <w:r w:rsidRPr="002F4D5B">
        <w:t>Tvist med anledning av avtalet mellan Beställaren och Leverantören ska, om parterna inte kommer överens, avgöras av allmän domstol vid Beställarens hemort, med tillämpning av svensk rätt.</w:t>
      </w:r>
    </w:p>
    <w:p w14:paraId="325F560E" w14:textId="77777777" w:rsidR="002F4D5B" w:rsidRPr="002F4D5B" w:rsidRDefault="002F4D5B" w:rsidP="00470AD5">
      <w:pPr>
        <w:pStyle w:val="Rubrik1"/>
        <w:framePr w:wrap="notBeside"/>
      </w:pPr>
      <w:bookmarkStart w:id="0" w:name="_Toc449088457"/>
      <w:r w:rsidRPr="002F4D5B">
        <w:t>Information och samråd</w:t>
      </w:r>
      <w:bookmarkEnd w:id="0"/>
    </w:p>
    <w:p w14:paraId="0E7522D7" w14:textId="77777777" w:rsidR="00097615" w:rsidRDefault="00097615" w:rsidP="00470AD5">
      <w:pPr>
        <w:pStyle w:val="Rubrik2"/>
      </w:pPr>
      <w:r>
        <w:lastRenderedPageBreak/>
        <w:t>Avtalsdatabas</w:t>
      </w:r>
    </w:p>
    <w:p w14:paraId="3EC65E15" w14:textId="77777777" w:rsidR="00097615" w:rsidRDefault="00097615" w:rsidP="00097615">
      <w:r>
        <w:t>Upphandlings</w:t>
      </w:r>
      <w:r w:rsidR="009D23FE">
        <w:t>c</w:t>
      </w:r>
      <w:r>
        <w:t>enter publicerar alla avtal i en avtalsdatabas. Denna är tillgänglig för alla samverkande kommuners medarbetare. Syftet med tillgängligheten är att medarbetarna måste få ta del av avtalen för att kunna nyttja dessa.</w:t>
      </w:r>
    </w:p>
    <w:p w14:paraId="5B142C83" w14:textId="776793DD" w:rsidR="00097615" w:rsidRDefault="00097615" w:rsidP="00097615">
      <w:r>
        <w:t>I database</w:t>
      </w:r>
      <w:r w:rsidR="00136276">
        <w:t>n kommer personuppgifter såsom L</w:t>
      </w:r>
      <w:r>
        <w:t xml:space="preserve">everantörens kontaktuppgifter att publiceras. </w:t>
      </w:r>
    </w:p>
    <w:p w14:paraId="2FFC721C" w14:textId="77777777" w:rsidR="00097615" w:rsidRDefault="00097615" w:rsidP="00097615">
      <w:r>
        <w:t>Leverantören ansvarar för att informera berörda om denna behandling.</w:t>
      </w:r>
    </w:p>
    <w:p w14:paraId="02B271D2" w14:textId="77777777" w:rsidR="002F4D5B" w:rsidRDefault="002F4D5B" w:rsidP="00470AD5">
      <w:pPr>
        <w:pStyle w:val="Rubrik2"/>
      </w:pPr>
      <w:r w:rsidRPr="002F4D5B">
        <w:t>Statistik</w:t>
      </w:r>
    </w:p>
    <w:p w14:paraId="12C52A02" w14:textId="376ED110" w:rsidR="00E779C0" w:rsidRPr="00E779C0" w:rsidRDefault="00E779C0" w:rsidP="00E779C0">
      <w:r>
        <w:t xml:space="preserve">Statistik med uppgifter över utförda </w:t>
      </w:r>
      <w:r w:rsidR="00C67CA9">
        <w:t>tjänster, volym och belopp per B</w:t>
      </w:r>
      <w:r>
        <w:t xml:space="preserve">eställare ska efter </w:t>
      </w:r>
      <w:r w:rsidR="00C653D6">
        <w:t>begäran</w:t>
      </w:r>
      <w:r>
        <w:t>, inom tio dagar, kostnadsfritt sändas till Upph</w:t>
      </w:r>
      <w:r w:rsidR="00C67CA9">
        <w:t>andlingscenter samt respektive B</w:t>
      </w:r>
      <w:r>
        <w:t>eställare. Statistik erhålls på fil, företrädesvis Microsoft Excel.</w:t>
      </w:r>
    </w:p>
    <w:p w14:paraId="30E9425B" w14:textId="77777777" w:rsidR="002F4D5B" w:rsidRPr="002F4D5B" w:rsidRDefault="002F4D5B" w:rsidP="00470AD5">
      <w:pPr>
        <w:pStyle w:val="Rubrik2"/>
      </w:pPr>
      <w:r w:rsidRPr="002F4D5B">
        <w:t>Information till Beställare</w:t>
      </w:r>
    </w:p>
    <w:p w14:paraId="7FA36D4E" w14:textId="77777777" w:rsidR="002F4D5B" w:rsidRDefault="002F4D5B" w:rsidP="002F4D5B">
      <w:r w:rsidRPr="002F4D5B">
        <w:t>Vid avtalsstart eller när det sker förändringar</w:t>
      </w:r>
      <w:r w:rsidR="00E60442">
        <w:t xml:space="preserve"> gällande avtalade tjänster </w:t>
      </w:r>
      <w:r w:rsidRPr="002F4D5B">
        <w:t xml:space="preserve">ska Leverantören på eget initiativ, kostnadsfritt erbjuda utbildning/information till personal hos </w:t>
      </w:r>
      <w:r w:rsidR="00F9611A">
        <w:t>Beställaren</w:t>
      </w:r>
      <w:r w:rsidRPr="002F4D5B">
        <w:t>.</w:t>
      </w:r>
    </w:p>
    <w:p w14:paraId="3BA537C8" w14:textId="77777777" w:rsidR="003A11F6" w:rsidRPr="00BF52FA" w:rsidRDefault="003A11F6" w:rsidP="003A11F6">
      <w:pPr>
        <w:pStyle w:val="Rubrik2"/>
      </w:pPr>
      <w:r w:rsidRPr="00BF52FA">
        <w:t>Förändring av behov</w:t>
      </w:r>
    </w:p>
    <w:p w14:paraId="4C59C39B" w14:textId="536D10EF" w:rsidR="003A11F6" w:rsidRDefault="003A11F6" w:rsidP="002F4D5B">
      <w:r w:rsidRPr="00BF52FA">
        <w:t xml:space="preserve">Om </w:t>
      </w:r>
      <w:r w:rsidR="006252F5" w:rsidRPr="00BF52FA">
        <w:t>Beställarens behov</w:t>
      </w:r>
      <w:r w:rsidRPr="00BF52FA">
        <w:t xml:space="preserve"> </w:t>
      </w:r>
      <w:r w:rsidR="006252F5" w:rsidRPr="00BF52FA">
        <w:t>för</w:t>
      </w:r>
      <w:r w:rsidRPr="00BF52FA">
        <w:t xml:space="preserve">ändras under avtalsperioden </w:t>
      </w:r>
      <w:r w:rsidR="00F9611A" w:rsidRPr="00BF52FA">
        <w:t xml:space="preserve">ska detta genast </w:t>
      </w:r>
      <w:r w:rsidR="006252F5" w:rsidRPr="00BF52FA">
        <w:t>meddelas Leverantören</w:t>
      </w:r>
      <w:r w:rsidR="00F9611A" w:rsidRPr="00BF52FA">
        <w:t xml:space="preserve">. Om </w:t>
      </w:r>
      <w:r w:rsidR="006252F5" w:rsidRPr="00BF52FA">
        <w:t>det</w:t>
      </w:r>
      <w:r w:rsidRPr="00BF52FA">
        <w:t xml:space="preserve"> medför extra kostnader för </w:t>
      </w:r>
      <w:r w:rsidR="00F9611A" w:rsidRPr="00BF52FA">
        <w:t>Leverantören</w:t>
      </w:r>
      <w:r w:rsidRPr="00BF52FA">
        <w:t>, ska parterna redan innan den kostnadshöjande verksamheten inleds komma överens om hur kostnaderna ska fördelas.</w:t>
      </w:r>
    </w:p>
    <w:p w14:paraId="1A2F7A84" w14:textId="382C4146" w:rsidR="006036FD" w:rsidRDefault="006036FD" w:rsidP="006036FD">
      <w:pPr>
        <w:pStyle w:val="Rubrik2"/>
      </w:pPr>
      <w:r>
        <w:t>Ändringar och tillägg</w:t>
      </w:r>
      <w:r w:rsidR="00FC449D">
        <w:t xml:space="preserve"> under avtalstiden</w:t>
      </w:r>
    </w:p>
    <w:p w14:paraId="5DBBB3D3" w14:textId="77777777" w:rsidR="006036FD" w:rsidRPr="004A45CA" w:rsidRDefault="006036FD" w:rsidP="006036FD">
      <w:r w:rsidRPr="004A45CA">
        <w:t xml:space="preserve">Under avtalstiden kan förändringar ske, så som att tillföra nödvändiga anpassningar på grund av omständigheter som påverkar avtalets omfattning. Beställaren kan behöva anpassa och/eller utöka avtalets omfattning. </w:t>
      </w:r>
    </w:p>
    <w:p w14:paraId="04EE832B" w14:textId="25F74E45" w:rsidR="006036FD" w:rsidRPr="004A45CA" w:rsidRDefault="006036FD" w:rsidP="006036FD">
      <w:r w:rsidRPr="004A45CA">
        <w:t>Större förändringar ska meddelas Leverantören om möjligt tre månader före dess ikraftträdande. Leverantör är skyldig att leverera Beställarens verkliga behov oavsett förändringen</w:t>
      </w:r>
      <w:r w:rsidR="00EA4229" w:rsidRPr="004A45CA">
        <w:t>s</w:t>
      </w:r>
      <w:r w:rsidRPr="004A45CA">
        <w:t xml:space="preserve"> art.</w:t>
      </w:r>
    </w:p>
    <w:p w14:paraId="519DF767" w14:textId="359B2503" w:rsidR="006036FD" w:rsidRDefault="006036FD" w:rsidP="002F4D5B">
      <w:r w:rsidRPr="004A45CA">
        <w:t>Förhandlingar kan begäras av båda parter om förutsättningarna för det tecknade avtalet väsentligt förändras. Överenskommelse i sådant hänseende ska träffas skriftligen.</w:t>
      </w:r>
      <w:r>
        <w:t xml:space="preserve"> </w:t>
      </w:r>
    </w:p>
    <w:p w14:paraId="72605F25" w14:textId="77777777" w:rsidR="008E7B6A" w:rsidRDefault="008E7B6A" w:rsidP="008E7B6A">
      <w:r w:rsidRPr="00520E84">
        <w:t>Ändringar och tillägg till detta avtal ska för sin giltighet skriftligen vara godkända av alla partner.</w:t>
      </w:r>
    </w:p>
    <w:p w14:paraId="54D62681" w14:textId="7583E241" w:rsidR="00406CA6" w:rsidRPr="002E034D" w:rsidRDefault="00406CA6" w:rsidP="00F27A7C">
      <w:pPr>
        <w:pStyle w:val="Rubrik2"/>
      </w:pPr>
      <w:r w:rsidRPr="002E034D">
        <w:t>Rapport från boendet till Beställarna</w:t>
      </w:r>
    </w:p>
    <w:p w14:paraId="45E0DC30" w14:textId="74EF3A2D" w:rsidR="00406CA6" w:rsidRPr="002E034D" w:rsidRDefault="00406CA6" w:rsidP="00406CA6">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 xml:space="preserve">Leverantören ska skicka rapporter med redogörelser för insatsen och den enskildes måluppfyllelser varje </w:t>
      </w:r>
      <w:r w:rsidR="008624A5">
        <w:rPr>
          <w:rFonts w:ascii="Garamond" w:eastAsiaTheme="minorHAnsi" w:hAnsi="Garamond" w:cstheme="minorBidi"/>
          <w:sz w:val="24"/>
          <w:szCs w:val="22"/>
          <w:lang w:eastAsia="en-US"/>
        </w:rPr>
        <w:t>halvår</w:t>
      </w:r>
      <w:r w:rsidRPr="002E034D">
        <w:rPr>
          <w:rFonts w:ascii="Garamond" w:eastAsiaTheme="minorHAnsi" w:hAnsi="Garamond" w:cstheme="minorBidi"/>
          <w:sz w:val="24"/>
          <w:szCs w:val="22"/>
          <w:lang w:eastAsia="en-US"/>
        </w:rPr>
        <w:t>. Rapport ska skickas oftare vid behov om Beställaren begär detta.</w:t>
      </w:r>
    </w:p>
    <w:p w14:paraId="6F4D8CB6" w14:textId="40EC2C96" w:rsidR="00406CA6" w:rsidRPr="002E034D" w:rsidRDefault="00406CA6" w:rsidP="00154938">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 xml:space="preserve">Inför omprövning/övervägande av placeringen ska Leverantören skicka en mer utförlig redogörelse för genomförda insatser. </w:t>
      </w:r>
    </w:p>
    <w:p w14:paraId="0D1C1D74" w14:textId="77777777" w:rsidR="00406CA6" w:rsidRPr="002E034D" w:rsidRDefault="00406CA6" w:rsidP="00406CA6">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 xml:space="preserve">Redogörelsen ska innehålla: </w:t>
      </w:r>
    </w:p>
    <w:p w14:paraId="0AA29E05" w14:textId="77777777" w:rsidR="00406CA6" w:rsidRPr="002E034D" w:rsidRDefault="00406CA6" w:rsidP="00283310">
      <w:pPr>
        <w:pStyle w:val="eAvropBrd"/>
        <w:numPr>
          <w:ilvl w:val="0"/>
          <w:numId w:val="11"/>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Genomförda insatser</w:t>
      </w:r>
    </w:p>
    <w:p w14:paraId="1B94E61C" w14:textId="77777777" w:rsidR="00406CA6" w:rsidRPr="002E034D" w:rsidRDefault="00406CA6" w:rsidP="00283310">
      <w:pPr>
        <w:pStyle w:val="eAvropBrd"/>
        <w:numPr>
          <w:ilvl w:val="0"/>
          <w:numId w:val="11"/>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Den enskildes utveckling under placerings-/insatstiden</w:t>
      </w:r>
    </w:p>
    <w:p w14:paraId="3A4C6DCE" w14:textId="77777777" w:rsidR="00406CA6" w:rsidRPr="002E034D" w:rsidRDefault="00406CA6" w:rsidP="00283310">
      <w:pPr>
        <w:pStyle w:val="eAvropBrd"/>
        <w:numPr>
          <w:ilvl w:val="0"/>
          <w:numId w:val="11"/>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lastRenderedPageBreak/>
        <w:t>När inte målen har uppnåtts samt orsak till detta</w:t>
      </w:r>
    </w:p>
    <w:p w14:paraId="211D4311" w14:textId="4948B638" w:rsidR="00406CA6" w:rsidRDefault="00406CA6" w:rsidP="00283310">
      <w:pPr>
        <w:pStyle w:val="eAvropBrd"/>
        <w:numPr>
          <w:ilvl w:val="0"/>
          <w:numId w:val="11"/>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Måluppfyllelse (mål som har uppnåtts av den enskilde)</w:t>
      </w:r>
    </w:p>
    <w:p w14:paraId="05836C25" w14:textId="77777777" w:rsidR="00067A12" w:rsidRPr="002E034D" w:rsidRDefault="00067A12" w:rsidP="00067A12">
      <w:pPr>
        <w:pStyle w:val="eAvropBrd"/>
        <w:ind w:left="720"/>
        <w:rPr>
          <w:rFonts w:ascii="Garamond" w:eastAsiaTheme="minorHAnsi" w:hAnsi="Garamond" w:cstheme="minorBidi"/>
          <w:sz w:val="24"/>
          <w:szCs w:val="22"/>
          <w:lang w:eastAsia="en-US"/>
        </w:rPr>
      </w:pPr>
    </w:p>
    <w:p w14:paraId="7AA2A4BC" w14:textId="77777777" w:rsidR="00406CA6" w:rsidRPr="002E034D" w:rsidRDefault="00406CA6" w:rsidP="00406CA6">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Efter avslutad placering ska en skriftlig sammanfattning och bedömning av placeringen sändas till Beställaren senast två (2) veckor efter avslutad placering.</w:t>
      </w:r>
    </w:p>
    <w:p w14:paraId="4C96BE07" w14:textId="77777777" w:rsidR="00406CA6" w:rsidRPr="002E034D" w:rsidRDefault="00406CA6" w:rsidP="00406CA6">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Sammanfattning ska minst innehålla:</w:t>
      </w:r>
    </w:p>
    <w:p w14:paraId="4E04E497" w14:textId="77777777" w:rsidR="00406CA6" w:rsidRPr="002E034D" w:rsidRDefault="00406CA6" w:rsidP="00283310">
      <w:pPr>
        <w:pStyle w:val="eAvropBrd"/>
        <w:numPr>
          <w:ilvl w:val="0"/>
          <w:numId w:val="12"/>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En redogörelse för genomförda insatser</w:t>
      </w:r>
    </w:p>
    <w:p w14:paraId="2CC24ABA" w14:textId="77777777" w:rsidR="00406CA6" w:rsidRPr="002E034D" w:rsidRDefault="00406CA6" w:rsidP="00283310">
      <w:pPr>
        <w:pStyle w:val="eAvropBrd"/>
        <w:numPr>
          <w:ilvl w:val="0"/>
          <w:numId w:val="12"/>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Den enskildes utveckling under placeringstiden</w:t>
      </w:r>
    </w:p>
    <w:p w14:paraId="34B97B31" w14:textId="77777777" w:rsidR="00406CA6" w:rsidRPr="002E034D" w:rsidRDefault="00406CA6" w:rsidP="00283310">
      <w:pPr>
        <w:pStyle w:val="eAvropBrd"/>
        <w:numPr>
          <w:ilvl w:val="0"/>
          <w:numId w:val="12"/>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Erfarenheter som kan bidra till den fortsatta planeringen kring den enskilde</w:t>
      </w:r>
    </w:p>
    <w:p w14:paraId="4AB7D46D" w14:textId="3C440904" w:rsidR="00406CA6" w:rsidRDefault="00406CA6" w:rsidP="00283310">
      <w:pPr>
        <w:pStyle w:val="eAvropBrd"/>
        <w:numPr>
          <w:ilvl w:val="0"/>
          <w:numId w:val="12"/>
        </w:numPr>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Måluppfyllelse (mål som har uppnåtts av den enskilde)</w:t>
      </w:r>
    </w:p>
    <w:p w14:paraId="191AA377" w14:textId="77777777" w:rsidR="00067A12" w:rsidRPr="002E034D" w:rsidRDefault="00067A12" w:rsidP="00067A12">
      <w:pPr>
        <w:pStyle w:val="eAvropBrd"/>
        <w:ind w:left="720"/>
        <w:rPr>
          <w:rFonts w:ascii="Garamond" w:eastAsiaTheme="minorHAnsi" w:hAnsi="Garamond" w:cstheme="minorBidi"/>
          <w:sz w:val="24"/>
          <w:szCs w:val="22"/>
          <w:lang w:eastAsia="en-US"/>
        </w:rPr>
      </w:pPr>
    </w:p>
    <w:p w14:paraId="58939576" w14:textId="15DEFF41" w:rsidR="00406CA6" w:rsidRPr="00406CA6" w:rsidRDefault="00406CA6" w:rsidP="00406CA6">
      <w:pPr>
        <w:pStyle w:val="eAvropBrd"/>
        <w:ind w:left="0"/>
        <w:rPr>
          <w:rFonts w:ascii="Garamond" w:eastAsiaTheme="minorHAnsi" w:hAnsi="Garamond" w:cstheme="minorBidi"/>
          <w:sz w:val="24"/>
          <w:szCs w:val="22"/>
          <w:lang w:eastAsia="en-US"/>
        </w:rPr>
      </w:pPr>
      <w:r w:rsidRPr="002E034D">
        <w:rPr>
          <w:rFonts w:ascii="Garamond" w:eastAsiaTheme="minorHAnsi" w:hAnsi="Garamond" w:cstheme="minorBidi"/>
          <w:sz w:val="24"/>
          <w:szCs w:val="22"/>
          <w:lang w:eastAsia="en-US"/>
        </w:rPr>
        <w:t xml:space="preserve">Boendet ska </w:t>
      </w:r>
      <w:r w:rsidR="00067A12">
        <w:rPr>
          <w:rFonts w:ascii="Garamond" w:eastAsiaTheme="minorHAnsi" w:hAnsi="Garamond" w:cstheme="minorBidi"/>
          <w:sz w:val="24"/>
          <w:szCs w:val="22"/>
          <w:lang w:eastAsia="en-US"/>
        </w:rPr>
        <w:t xml:space="preserve">kunna erbjuda </w:t>
      </w:r>
      <w:r w:rsidRPr="002E034D">
        <w:rPr>
          <w:rFonts w:ascii="Garamond" w:eastAsiaTheme="minorHAnsi" w:hAnsi="Garamond" w:cstheme="minorBidi"/>
          <w:sz w:val="24"/>
          <w:szCs w:val="22"/>
          <w:lang w:eastAsia="en-US"/>
        </w:rPr>
        <w:t xml:space="preserve">digital </w:t>
      </w:r>
      <w:r w:rsidR="00067A12">
        <w:rPr>
          <w:rFonts w:ascii="Garamond" w:eastAsiaTheme="minorHAnsi" w:hAnsi="Garamond" w:cstheme="minorBidi"/>
          <w:sz w:val="24"/>
          <w:szCs w:val="22"/>
          <w:lang w:eastAsia="en-US"/>
        </w:rPr>
        <w:t>uppföljning</w:t>
      </w:r>
      <w:r w:rsidRPr="002E034D">
        <w:rPr>
          <w:rFonts w:ascii="Garamond" w:eastAsiaTheme="minorHAnsi" w:hAnsi="Garamond" w:cstheme="minorBidi"/>
          <w:sz w:val="24"/>
          <w:szCs w:val="22"/>
          <w:lang w:eastAsia="en-US"/>
        </w:rPr>
        <w:t xml:space="preserve"> med Beställaren.</w:t>
      </w:r>
      <w:r w:rsidRPr="00406CA6">
        <w:rPr>
          <w:rFonts w:ascii="Garamond" w:eastAsiaTheme="minorHAnsi" w:hAnsi="Garamond" w:cstheme="minorBidi"/>
          <w:sz w:val="24"/>
          <w:szCs w:val="22"/>
          <w:lang w:eastAsia="en-US"/>
        </w:rPr>
        <w:t xml:space="preserve"> </w:t>
      </w:r>
    </w:p>
    <w:p w14:paraId="736C9C6B" w14:textId="1AEEC3B1" w:rsidR="001B2AD5" w:rsidRDefault="001B2AD5" w:rsidP="00F27A7C">
      <w:pPr>
        <w:pStyle w:val="Rubrik2"/>
      </w:pPr>
      <w:r w:rsidRPr="002F4D5B">
        <w:t>Avtalsuppföljning</w:t>
      </w:r>
    </w:p>
    <w:p w14:paraId="4210B6FD" w14:textId="7128239E" w:rsidR="001B2AD5" w:rsidRPr="00231744" w:rsidRDefault="001B2AD5" w:rsidP="00180A38">
      <w:r w:rsidRPr="00231744">
        <w:t xml:space="preserve">Leverantören ska ansvara för uppföljning och utvärdering dels av den egna verksamheten, dels </w:t>
      </w:r>
      <w:r w:rsidR="00231744" w:rsidRPr="00231744">
        <w:t>om</w:t>
      </w:r>
      <w:r w:rsidRPr="00231744">
        <w:t xml:space="preserve"> </w:t>
      </w:r>
      <w:r w:rsidR="00D711F0" w:rsidRPr="00231744">
        <w:t>den enskilde</w:t>
      </w:r>
      <w:r w:rsidRPr="00231744">
        <w:t xml:space="preserve"> för att kunna redovisa resultat för Beställaren.</w:t>
      </w:r>
    </w:p>
    <w:p w14:paraId="1648F023" w14:textId="77777777" w:rsidR="001B2AD5" w:rsidRPr="00D066B1" w:rsidRDefault="001B2AD5" w:rsidP="00180A38">
      <w:r w:rsidRPr="00D066B1">
        <w:t>Uppföljningen ska säkerställa att utförandet av tjänsten uppfyller de kvalitetskrav som finns i lagar, föreskrifter och villkor för den tjänst som upphandlats.</w:t>
      </w:r>
    </w:p>
    <w:p w14:paraId="07313B98" w14:textId="10687FA1" w:rsidR="001B2AD5" w:rsidRPr="00D066B1" w:rsidRDefault="00AA5D93" w:rsidP="00180A38">
      <w:r>
        <w:t>Leverantören och B</w:t>
      </w:r>
      <w:r w:rsidR="001B2AD5" w:rsidRPr="00D066B1">
        <w:t>eställaren ska samverka för att skapa bästa möjliga förutsättningar för uppdraget genomförande. Leverantör och Beställaren är  skyldiga att så snart som möjligt informera varandra om viktiga förändringar som kan påverka förutsättningarna för respektive parts åtagande och ansvar</w:t>
      </w:r>
      <w:r w:rsidR="001A1D0C">
        <w:t>.</w:t>
      </w:r>
    </w:p>
    <w:p w14:paraId="06C7F7A3" w14:textId="77777777" w:rsidR="001B2AD5" w:rsidRPr="00D066B1" w:rsidRDefault="001B2AD5" w:rsidP="00180A38">
      <w:r w:rsidRPr="00D066B1">
        <w:t>Beställaren ska ges rätt till insyn och rätt att göra såväl planerad som oplanerad uppföljning av verksamheten.</w:t>
      </w:r>
    </w:p>
    <w:p w14:paraId="4073CB48" w14:textId="77777777" w:rsidR="001B2AD5" w:rsidRPr="00D066B1" w:rsidRDefault="001B2AD5" w:rsidP="00180A38">
      <w:r w:rsidRPr="00D066B1">
        <w:t>Beställaren ska äga tillträde till lokaler där verksamhet bedrivs och få tillgång till sådana uppgifter om verksamheten som anses vara nödvändiga för att kunna genomföra uppföljningar.</w:t>
      </w:r>
    </w:p>
    <w:p w14:paraId="1752DC39" w14:textId="468D1062" w:rsidR="005B4E30" w:rsidRPr="005B4E30" w:rsidRDefault="005B4E30" w:rsidP="00180A38">
      <w:pPr>
        <w:rPr>
          <w:szCs w:val="24"/>
        </w:rPr>
      </w:pPr>
      <w:r w:rsidRPr="00D066B1">
        <w:rPr>
          <w:szCs w:val="24"/>
        </w:rPr>
        <w:t>Beställaren har rätt till full insyn i verksamheten avseende måluppfyllelse, kvalitetskrav och att innehållet i avtalet efterföljs. Beställaren ska ha rätt att ta del av leverantörens utvärderingar över resultat av utfört arbete.</w:t>
      </w:r>
    </w:p>
    <w:p w14:paraId="38B4E54B" w14:textId="77777777" w:rsidR="008624A5" w:rsidRDefault="002F4D5B" w:rsidP="002F4D5B">
      <w:r w:rsidRPr="002F4D5B">
        <w:t xml:space="preserve">För att säkerställa </w:t>
      </w:r>
      <w:r w:rsidR="008624A5">
        <w:t xml:space="preserve">den enskildes sekretessbehov kommer </w:t>
      </w:r>
      <w:r w:rsidRPr="002F4D5B">
        <w:t xml:space="preserve">samarbetet </w:t>
      </w:r>
      <w:r w:rsidR="008624A5">
        <w:t xml:space="preserve">ske mellan </w:t>
      </w:r>
      <w:r w:rsidRPr="002F4D5B">
        <w:t>Beställare och Leverantör</w:t>
      </w:r>
      <w:r w:rsidR="008624A5">
        <w:t>.</w:t>
      </w:r>
      <w:r w:rsidRPr="002F4D5B">
        <w:t xml:space="preserve"> </w:t>
      </w:r>
      <w:r w:rsidR="00B86B7E">
        <w:t xml:space="preserve">Vid avtalsproblem </w:t>
      </w:r>
      <w:r w:rsidR="00B86B7E" w:rsidRPr="00CE76E4">
        <w:t xml:space="preserve">kontaktas </w:t>
      </w:r>
      <w:r w:rsidRPr="00CE76E4">
        <w:t xml:space="preserve">Upphandlingscenter </w:t>
      </w:r>
      <w:r w:rsidR="00B86B7E" w:rsidRPr="00CE76E4">
        <w:t xml:space="preserve">av den </w:t>
      </w:r>
      <w:r w:rsidR="008624A5" w:rsidRPr="00CE76E4">
        <w:t xml:space="preserve">som har </w:t>
      </w:r>
      <w:r w:rsidR="00B86B7E" w:rsidRPr="00CE76E4">
        <w:t>avtalsproblem</w:t>
      </w:r>
      <w:r w:rsidRPr="00CE76E4">
        <w:t>.</w:t>
      </w:r>
      <w:r w:rsidR="00B86B7E">
        <w:t xml:space="preserve"> </w:t>
      </w:r>
      <w:r w:rsidR="008624A5">
        <w:t>Upphandlingscenter kommer även ha dialog inför eventuella avtalsförlängningar.</w:t>
      </w:r>
    </w:p>
    <w:p w14:paraId="1CCD1C51" w14:textId="6570EC20" w:rsidR="002F4D5B" w:rsidRPr="002F4D5B" w:rsidRDefault="002F4D5B" w:rsidP="002F4D5B">
      <w:pPr>
        <w:rPr>
          <w:szCs w:val="24"/>
        </w:rPr>
      </w:pPr>
      <w:r w:rsidRPr="002F4D5B">
        <w:rPr>
          <w:szCs w:val="24"/>
        </w:rPr>
        <w:t>Centrala punkter för gruppens arbete ska bland annat vara:</w:t>
      </w:r>
    </w:p>
    <w:p w14:paraId="0AF03609" w14:textId="77777777" w:rsidR="008624A5" w:rsidRPr="008624A5" w:rsidRDefault="008624A5" w:rsidP="00283310">
      <w:pPr>
        <w:numPr>
          <w:ilvl w:val="0"/>
          <w:numId w:val="7"/>
        </w:numPr>
        <w:spacing w:before="120"/>
        <w:contextualSpacing/>
        <w:rPr>
          <w:szCs w:val="20"/>
        </w:rPr>
      </w:pPr>
      <w:r>
        <w:t>Rapport</w:t>
      </w:r>
    </w:p>
    <w:p w14:paraId="338F8CDC" w14:textId="77777777" w:rsidR="008624A5" w:rsidRPr="008624A5" w:rsidRDefault="008624A5" w:rsidP="00283310">
      <w:pPr>
        <w:numPr>
          <w:ilvl w:val="0"/>
          <w:numId w:val="7"/>
        </w:numPr>
        <w:spacing w:before="120"/>
        <w:contextualSpacing/>
        <w:rPr>
          <w:szCs w:val="20"/>
        </w:rPr>
      </w:pPr>
      <w:r>
        <w:t>Den enskildes behov</w:t>
      </w:r>
    </w:p>
    <w:p w14:paraId="17D73543" w14:textId="2EF5F279" w:rsidR="002F4D5B" w:rsidRPr="004A45CA" w:rsidRDefault="001B2AD5" w:rsidP="00283310">
      <w:pPr>
        <w:numPr>
          <w:ilvl w:val="0"/>
          <w:numId w:val="7"/>
        </w:numPr>
        <w:spacing w:before="120"/>
        <w:contextualSpacing/>
      </w:pPr>
      <w:r w:rsidRPr="004A45CA">
        <w:t>Utveckling och samarbete</w:t>
      </w:r>
    </w:p>
    <w:p w14:paraId="36230FFA" w14:textId="46E76294" w:rsidR="002F4D5B" w:rsidRPr="004A45CA" w:rsidRDefault="001B2AD5" w:rsidP="00283310">
      <w:pPr>
        <w:numPr>
          <w:ilvl w:val="0"/>
          <w:numId w:val="7"/>
        </w:numPr>
        <w:spacing w:before="120"/>
        <w:contextualSpacing/>
      </w:pPr>
      <w:r w:rsidRPr="004A45CA">
        <w:t xml:space="preserve">Information och utbildning </w:t>
      </w:r>
    </w:p>
    <w:p w14:paraId="0A747377" w14:textId="7C47AB47" w:rsidR="008624A5" w:rsidRPr="00405434" w:rsidRDefault="008624A5" w:rsidP="008624A5">
      <w:pPr>
        <w:numPr>
          <w:ilvl w:val="0"/>
          <w:numId w:val="7"/>
        </w:numPr>
        <w:spacing w:before="120"/>
        <w:contextualSpacing/>
        <w:rPr>
          <w:szCs w:val="20"/>
        </w:rPr>
      </w:pPr>
      <w:r w:rsidRPr="00405434">
        <w:lastRenderedPageBreak/>
        <w:t>Uppföljning</w:t>
      </w:r>
      <w:r>
        <w:t>, förvaltningsplan</w:t>
      </w:r>
      <w:r w:rsidR="00D5459D">
        <w:t>,</w:t>
      </w:r>
      <w:r>
        <w:t xml:space="preserve"> klass A</w:t>
      </w:r>
    </w:p>
    <w:p w14:paraId="107D0BC5" w14:textId="77777777" w:rsidR="00B25F53" w:rsidRPr="00B25F53" w:rsidRDefault="00B25F53" w:rsidP="00B25F53">
      <w:pPr>
        <w:spacing w:line="240" w:lineRule="auto"/>
        <w:rPr>
          <w:sz w:val="12"/>
        </w:rPr>
      </w:pPr>
    </w:p>
    <w:p w14:paraId="5622AB93" w14:textId="3835A63D" w:rsidR="00B25F53" w:rsidRDefault="00B25F53" w:rsidP="00B25F53">
      <w:r>
        <w:t>Om fysiskt möte anses vara nödvändigt enligt Beställaren ska Leverantören bekosta sina resor och traktamenten själv.</w:t>
      </w:r>
    </w:p>
    <w:p w14:paraId="1444500B" w14:textId="77777777" w:rsidR="004A45CA" w:rsidRDefault="004A45CA" w:rsidP="004A45CA">
      <w:pPr>
        <w:pStyle w:val="Rubrik2"/>
      </w:pPr>
      <w:r>
        <w:t>Biståndsskyldighet när tjänsteleverantör byts</w:t>
      </w:r>
    </w:p>
    <w:p w14:paraId="1BBF6953" w14:textId="024F544A" w:rsidR="004A45CA" w:rsidRDefault="004A45CA" w:rsidP="004A45CA">
      <w:r>
        <w:t>Om inte något annat har avtalats, är Leverantören när denne byts ut skyldig att bistå Beställaren med att överföra avta</w:t>
      </w:r>
      <w:r w:rsidR="009903A9">
        <w:t>lsförpliktelserna till den nya L</w:t>
      </w:r>
      <w:r>
        <w:t xml:space="preserve">everantören eller till Beställaren själv. </w:t>
      </w:r>
    </w:p>
    <w:p w14:paraId="7D3731FF" w14:textId="14EDC6F8" w:rsidR="004A45CA" w:rsidRDefault="004A45CA" w:rsidP="00B25F53">
      <w:r>
        <w:t>Denna skyldighet börjar när avtalet sagts upp eller hävts eller när Beställaren meddelar att denne kommer att starta en upphandling gällande tjänster enligt avtalet. Skyldigheten fortgår tolv månader efter att avtalet löpt ut.</w:t>
      </w:r>
    </w:p>
    <w:p w14:paraId="2CF22DD4" w14:textId="77777777" w:rsidR="002F4D5B" w:rsidRPr="002F4D5B" w:rsidRDefault="002F4D5B" w:rsidP="00470AD5">
      <w:pPr>
        <w:pStyle w:val="Rubrik1"/>
        <w:framePr w:wrap="notBeside"/>
      </w:pPr>
      <w:r w:rsidRPr="002F4D5B">
        <w:t xml:space="preserve">Avtalet </w:t>
      </w:r>
    </w:p>
    <w:p w14:paraId="7FEE11AA" w14:textId="77777777" w:rsidR="00C353CE" w:rsidRDefault="00C353CE" w:rsidP="00B61D18">
      <w:r w:rsidRPr="002F4D5B">
        <w:t>Avtalet är giltigt efter</w:t>
      </w:r>
      <w:r>
        <w:t xml:space="preserve"> digital</w:t>
      </w:r>
      <w:r w:rsidRPr="002F4D5B">
        <w:t xml:space="preserve"> </w:t>
      </w:r>
      <w:r>
        <w:t>signering</w:t>
      </w:r>
      <w:r w:rsidRPr="002F4D5B">
        <w:t xml:space="preserve"> av båda parter.</w:t>
      </w:r>
    </w:p>
    <w:p w14:paraId="41DEEBCA" w14:textId="77777777" w:rsidR="002F4D5B" w:rsidRPr="002F4D5B" w:rsidRDefault="002F4D5B" w:rsidP="002F4D5B"/>
    <w:p w14:paraId="20087A41" w14:textId="77777777" w:rsidR="002F4D5B" w:rsidRPr="002F4D5B" w:rsidRDefault="002F4D5B" w:rsidP="002F4D5B">
      <w:pPr>
        <w:sectPr w:rsidR="002F4D5B" w:rsidRPr="002F4D5B" w:rsidSect="00385129">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pPr>
    </w:p>
    <w:p w14:paraId="0046C93D" w14:textId="2375465C" w:rsidR="002F4D5B" w:rsidRDefault="002F4D5B" w:rsidP="002F4D5B">
      <w:pPr>
        <w:rPr>
          <w:rFonts w:ascii="Franklin Gothic Medium" w:hAnsi="Franklin Gothic Medium" w:cs="Arial"/>
        </w:rPr>
      </w:pPr>
      <w:r w:rsidRPr="00AE2731">
        <w:rPr>
          <w:rFonts w:ascii="Franklin Gothic Medium" w:hAnsi="Franklin Gothic Medium" w:cs="Arial"/>
        </w:rPr>
        <w:t>Bilageförteckning:</w:t>
      </w:r>
    </w:p>
    <w:p w14:paraId="6518EA99" w14:textId="250CDA99" w:rsidR="00B61D18" w:rsidRDefault="00B61D18" w:rsidP="00283310">
      <w:pPr>
        <w:pStyle w:val="Liststycke"/>
        <w:numPr>
          <w:ilvl w:val="0"/>
          <w:numId w:val="13"/>
        </w:numPr>
      </w:pPr>
      <w:r w:rsidRPr="00B61D18">
        <w:t>Kravspecifikation</w:t>
      </w:r>
      <w:bookmarkStart w:id="1" w:name="_GoBack"/>
      <w:bookmarkEnd w:id="1"/>
    </w:p>
    <w:sectPr w:rsidR="00B61D18" w:rsidSect="00385129">
      <w:type w:val="continuous"/>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DF93" w14:textId="77777777" w:rsidR="00F27A7C" w:rsidRDefault="00F27A7C" w:rsidP="002F4D5B">
      <w:pPr>
        <w:spacing w:after="0" w:line="240" w:lineRule="auto"/>
      </w:pPr>
      <w:r>
        <w:separator/>
      </w:r>
    </w:p>
  </w:endnote>
  <w:endnote w:type="continuationSeparator" w:id="0">
    <w:p w14:paraId="1022E5CC" w14:textId="77777777" w:rsidR="00F27A7C" w:rsidRDefault="00F27A7C" w:rsidP="002F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8905"/>
      <w:docPartObj>
        <w:docPartGallery w:val="Page Numbers (Bottom of Page)"/>
        <w:docPartUnique/>
      </w:docPartObj>
    </w:sdtPr>
    <w:sdtEndPr/>
    <w:sdtContent>
      <w:sdt>
        <w:sdtPr>
          <w:id w:val="-1701318631"/>
          <w:docPartObj>
            <w:docPartGallery w:val="Page Numbers (Top of Page)"/>
            <w:docPartUnique/>
          </w:docPartObj>
        </w:sdtPr>
        <w:sdtEndPr/>
        <w:sdtContent>
          <w:p w14:paraId="08A766CC" w14:textId="49CD7AFA" w:rsidR="00F27A7C" w:rsidRDefault="00F27A7C" w:rsidP="00385129">
            <w:pPr>
              <w:pStyle w:val="Sidfot"/>
              <w:pBdr>
                <w:bottom w:val="single" w:sz="4" w:space="1" w:color="auto"/>
              </w:pBdr>
              <w:jc w:val="right"/>
            </w:pPr>
            <w:r w:rsidRPr="00895673">
              <w:rPr>
                <w:bCs/>
                <w:sz w:val="20"/>
                <w:szCs w:val="24"/>
              </w:rPr>
              <w:fldChar w:fldCharType="begin"/>
            </w:r>
            <w:r w:rsidRPr="00895673">
              <w:rPr>
                <w:bCs/>
                <w:sz w:val="20"/>
              </w:rPr>
              <w:instrText>PAGE</w:instrText>
            </w:r>
            <w:r w:rsidRPr="00895673">
              <w:rPr>
                <w:bCs/>
                <w:sz w:val="20"/>
                <w:szCs w:val="24"/>
              </w:rPr>
              <w:fldChar w:fldCharType="separate"/>
            </w:r>
            <w:r w:rsidR="00150DEC">
              <w:rPr>
                <w:bCs/>
                <w:noProof/>
                <w:sz w:val="20"/>
              </w:rPr>
              <w:t>14</w:t>
            </w:r>
            <w:r w:rsidRPr="00895673">
              <w:rPr>
                <w:bCs/>
                <w:sz w:val="20"/>
                <w:szCs w:val="24"/>
              </w:rPr>
              <w:fldChar w:fldCharType="end"/>
            </w:r>
            <w:r w:rsidRPr="00895673">
              <w:rPr>
                <w:sz w:val="20"/>
              </w:rPr>
              <w:t xml:space="preserve"> (</w:t>
            </w:r>
            <w:r w:rsidRPr="00895673">
              <w:rPr>
                <w:bCs/>
                <w:sz w:val="20"/>
                <w:szCs w:val="24"/>
              </w:rPr>
              <w:fldChar w:fldCharType="begin"/>
            </w:r>
            <w:r w:rsidRPr="00895673">
              <w:rPr>
                <w:bCs/>
                <w:sz w:val="20"/>
              </w:rPr>
              <w:instrText>NUMPAGES</w:instrText>
            </w:r>
            <w:r w:rsidRPr="00895673">
              <w:rPr>
                <w:bCs/>
                <w:sz w:val="20"/>
                <w:szCs w:val="24"/>
              </w:rPr>
              <w:fldChar w:fldCharType="separate"/>
            </w:r>
            <w:r w:rsidR="00150DEC">
              <w:rPr>
                <w:bCs/>
                <w:noProof/>
                <w:sz w:val="20"/>
              </w:rPr>
              <w:t>15</w:t>
            </w:r>
            <w:r w:rsidRPr="00895673">
              <w:rPr>
                <w:bCs/>
                <w:sz w:val="20"/>
                <w:szCs w:val="24"/>
              </w:rPr>
              <w:fldChar w:fldCharType="end"/>
            </w:r>
            <w:r w:rsidRPr="00895673">
              <w:rPr>
                <w:bCs/>
                <w:sz w:val="20"/>
                <w:szCs w:val="24"/>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11852375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D1DF3A4" w14:textId="471F1DFB" w:rsidR="00F27A7C" w:rsidRPr="00895673" w:rsidRDefault="00F27A7C" w:rsidP="00385129">
            <w:pPr>
              <w:pStyle w:val="Sidfot"/>
              <w:jc w:val="right"/>
              <w:rPr>
                <w:sz w:val="20"/>
              </w:rPr>
            </w:pPr>
            <w:r w:rsidRPr="00895673">
              <w:rPr>
                <w:bCs/>
                <w:sz w:val="20"/>
                <w:szCs w:val="24"/>
              </w:rPr>
              <w:fldChar w:fldCharType="begin"/>
            </w:r>
            <w:r w:rsidRPr="00895673">
              <w:rPr>
                <w:bCs/>
                <w:sz w:val="20"/>
              </w:rPr>
              <w:instrText>PAGE</w:instrText>
            </w:r>
            <w:r w:rsidRPr="00895673">
              <w:rPr>
                <w:bCs/>
                <w:sz w:val="20"/>
                <w:szCs w:val="24"/>
              </w:rPr>
              <w:fldChar w:fldCharType="separate"/>
            </w:r>
            <w:r w:rsidR="00150DEC">
              <w:rPr>
                <w:bCs/>
                <w:noProof/>
                <w:sz w:val="20"/>
              </w:rPr>
              <w:t>1</w:t>
            </w:r>
            <w:r w:rsidRPr="00895673">
              <w:rPr>
                <w:bCs/>
                <w:sz w:val="20"/>
                <w:szCs w:val="24"/>
              </w:rPr>
              <w:fldChar w:fldCharType="end"/>
            </w:r>
            <w:r w:rsidRPr="00895673">
              <w:rPr>
                <w:sz w:val="20"/>
              </w:rPr>
              <w:t xml:space="preserve"> (</w:t>
            </w:r>
            <w:r w:rsidRPr="00895673">
              <w:rPr>
                <w:bCs/>
                <w:sz w:val="20"/>
                <w:szCs w:val="24"/>
              </w:rPr>
              <w:fldChar w:fldCharType="begin"/>
            </w:r>
            <w:r w:rsidRPr="00895673">
              <w:rPr>
                <w:bCs/>
                <w:sz w:val="20"/>
              </w:rPr>
              <w:instrText>NUMPAGES</w:instrText>
            </w:r>
            <w:r w:rsidRPr="00895673">
              <w:rPr>
                <w:bCs/>
                <w:sz w:val="20"/>
                <w:szCs w:val="24"/>
              </w:rPr>
              <w:fldChar w:fldCharType="separate"/>
            </w:r>
            <w:r w:rsidR="00150DEC">
              <w:rPr>
                <w:bCs/>
                <w:noProof/>
                <w:sz w:val="20"/>
              </w:rPr>
              <w:t>15</w:t>
            </w:r>
            <w:r w:rsidRPr="00895673">
              <w:rPr>
                <w:bCs/>
                <w:sz w:val="20"/>
                <w:szCs w:val="24"/>
              </w:rPr>
              <w:fldChar w:fldCharType="end"/>
            </w:r>
            <w:r w:rsidRPr="00895673">
              <w:rPr>
                <w:bCs/>
                <w:sz w:val="20"/>
                <w:szCs w:val="24"/>
              </w:rPr>
              <w:t>)</w:t>
            </w:r>
          </w:p>
        </w:sdtContent>
      </w:sdt>
    </w:sdtContent>
  </w:sdt>
  <w:p w14:paraId="1118C6A1" w14:textId="77777777" w:rsidR="00F27A7C" w:rsidRDefault="00F27A7C" w:rsidP="00385129">
    <w:pPr>
      <w:pBdr>
        <w:top w:val="single" w:sz="4" w:space="1" w:color="auto"/>
      </w:pBdr>
      <w:tabs>
        <w:tab w:val="left" w:pos="1758"/>
        <w:tab w:val="left" w:pos="3856"/>
        <w:tab w:val="left" w:pos="5613"/>
        <w:tab w:val="left" w:pos="7088"/>
        <w:tab w:val="left" w:pos="8959"/>
      </w:tabs>
      <w:spacing w:before="120" w:after="0" w:line="280" w:lineRule="exact"/>
      <w:jc w:val="center"/>
      <w:rPr>
        <w:rFonts w:eastAsia="Calibri" w:cs="Times New Roman"/>
        <w:noProof/>
        <w:szCs w:val="24"/>
        <w:lang w:eastAsia="sv-SE"/>
      </w:rPr>
    </w:pPr>
  </w:p>
  <w:p w14:paraId="7E88BF1D" w14:textId="77777777" w:rsidR="00F27A7C" w:rsidRDefault="00F27A7C" w:rsidP="00385129">
    <w:pPr>
      <w:pBdr>
        <w:top w:val="single" w:sz="4" w:space="1" w:color="auto"/>
      </w:pBdr>
      <w:tabs>
        <w:tab w:val="left" w:pos="1758"/>
        <w:tab w:val="left" w:pos="3856"/>
        <w:tab w:val="left" w:pos="5613"/>
        <w:tab w:val="left" w:pos="7088"/>
        <w:tab w:val="left" w:pos="8959"/>
      </w:tabs>
      <w:spacing w:before="120" w:after="0" w:line="280" w:lineRule="exact"/>
      <w:jc w:val="center"/>
      <w:rPr>
        <w:rFonts w:eastAsia="Calibri" w:cs="Times New Roman"/>
        <w:noProof/>
        <w:szCs w:val="24"/>
        <w:lang w:eastAsia="sv-SE"/>
      </w:rPr>
    </w:pPr>
    <w:r w:rsidRPr="000A497C">
      <w:rPr>
        <w:rFonts w:eastAsia="Calibri" w:cs="Times New Roman"/>
        <w:noProof/>
        <w:szCs w:val="24"/>
        <w:lang w:eastAsia="sv-SE"/>
      </w:rPr>
      <w:t>Upphandlingscenter</w:t>
    </w:r>
    <w:r>
      <w:rPr>
        <w:rFonts w:eastAsia="Calibri" w:cs="Times New Roman"/>
        <w:noProof/>
        <w:szCs w:val="24"/>
        <w:lang w:eastAsia="sv-SE"/>
      </w:rPr>
      <w:t xml:space="preserve"> Falun Borlänge-regionen| tfn 0240 – 860 00 </w:t>
    </w:r>
  </w:p>
  <w:p w14:paraId="5F18B751" w14:textId="77777777" w:rsidR="00F27A7C" w:rsidRPr="000A497C" w:rsidRDefault="00F27A7C" w:rsidP="00385129">
    <w:pPr>
      <w:pBdr>
        <w:top w:val="single" w:sz="4" w:space="1" w:color="auto"/>
      </w:pBdr>
      <w:tabs>
        <w:tab w:val="left" w:pos="1758"/>
        <w:tab w:val="left" w:pos="3856"/>
        <w:tab w:val="left" w:pos="5613"/>
        <w:tab w:val="left" w:pos="7088"/>
        <w:tab w:val="left" w:pos="8959"/>
      </w:tabs>
      <w:spacing w:before="120" w:after="0" w:line="280" w:lineRule="exact"/>
      <w:jc w:val="center"/>
      <w:rPr>
        <w:rFonts w:eastAsia="Calibri" w:cs="Times New Roman"/>
        <w:noProof/>
        <w:szCs w:val="24"/>
        <w:lang w:eastAsia="sv-SE"/>
      </w:rPr>
    </w:pPr>
    <w:r w:rsidRPr="000A497C">
      <w:rPr>
        <w:rFonts w:eastAsia="Calibri" w:cs="Times New Roman"/>
        <w:noProof/>
        <w:szCs w:val="24"/>
        <w:lang w:eastAsia="sv-SE"/>
      </w:rPr>
      <w:t>www.</w:t>
    </w:r>
    <w:r>
      <w:rPr>
        <w:rFonts w:eastAsia="Calibri" w:cs="Times New Roman"/>
        <w:noProof/>
        <w:szCs w:val="24"/>
        <w:lang w:eastAsia="sv-SE"/>
      </w:rPr>
      <w:t>u</w:t>
    </w:r>
    <w:r w:rsidRPr="000A497C">
      <w:rPr>
        <w:rFonts w:eastAsia="Calibri" w:cs="Times New Roman"/>
        <w:noProof/>
        <w:szCs w:val="24"/>
        <w:lang w:eastAsia="sv-SE"/>
      </w:rPr>
      <w:t>pphandlingscenterfbr.se</w:t>
    </w:r>
  </w:p>
  <w:p w14:paraId="523D7AF6" w14:textId="0A9E0F14" w:rsidR="00F27A7C" w:rsidRPr="00654A2A" w:rsidRDefault="00F27A7C" w:rsidP="00385129">
    <w:pPr>
      <w:pBdr>
        <w:top w:val="single" w:sz="4" w:space="1" w:color="auto"/>
      </w:pBdr>
      <w:tabs>
        <w:tab w:val="left" w:pos="1758"/>
        <w:tab w:val="left" w:pos="3856"/>
        <w:tab w:val="left" w:pos="5613"/>
        <w:tab w:val="left" w:pos="7088"/>
        <w:tab w:val="left" w:pos="8959"/>
      </w:tabs>
      <w:spacing w:before="120" w:after="0" w:line="280" w:lineRule="exact"/>
      <w:jc w:val="center"/>
      <w:rPr>
        <w:rFonts w:eastAsia="Calibri" w:cs="Times New Roman"/>
        <w:noProof/>
        <w:color w:val="A3AB11"/>
        <w:szCs w:val="24"/>
        <w:lang w:eastAsia="sv-SE"/>
      </w:rPr>
    </w:pPr>
    <w:r w:rsidRPr="00654A2A">
      <w:rPr>
        <w:rFonts w:eastAsia="Calibri" w:cs="Times New Roman"/>
        <w:noProof/>
        <w:color w:val="A3AB11"/>
        <w:szCs w:val="24"/>
        <w:lang w:eastAsia="sv-SE"/>
      </w:rPr>
      <w:t>Falun | Borlänge |</w:t>
    </w:r>
    <w:r>
      <w:rPr>
        <w:rFonts w:eastAsia="Calibri" w:cs="Times New Roman"/>
        <w:noProof/>
        <w:color w:val="A3AB11"/>
        <w:szCs w:val="24"/>
        <w:lang w:eastAsia="sv-SE"/>
      </w:rPr>
      <w:t xml:space="preserve"> Avesta </w:t>
    </w:r>
    <w:r w:rsidRPr="00654A2A">
      <w:rPr>
        <w:rFonts w:eastAsia="Calibri" w:cs="Times New Roman"/>
        <w:noProof/>
        <w:color w:val="A3AB11"/>
        <w:szCs w:val="24"/>
        <w:lang w:eastAsia="sv-SE"/>
      </w:rPr>
      <w:t>|</w:t>
    </w:r>
    <w:r>
      <w:rPr>
        <w:rFonts w:eastAsia="Calibri" w:cs="Times New Roman"/>
        <w:noProof/>
        <w:color w:val="A3AB11"/>
        <w:szCs w:val="24"/>
        <w:lang w:eastAsia="sv-SE"/>
      </w:rPr>
      <w:t xml:space="preserve"> </w:t>
    </w:r>
    <w:r w:rsidRPr="00654A2A">
      <w:rPr>
        <w:rFonts w:eastAsia="Calibri" w:cs="Times New Roman"/>
        <w:noProof/>
        <w:color w:val="A3AB11"/>
        <w:szCs w:val="24"/>
        <w:lang w:eastAsia="sv-SE"/>
      </w:rPr>
      <w:t xml:space="preserve">Gagnef | </w:t>
    </w:r>
    <w:r>
      <w:rPr>
        <w:rFonts w:eastAsia="Calibri" w:cs="Times New Roman"/>
        <w:noProof/>
        <w:color w:val="A3AB11"/>
        <w:szCs w:val="24"/>
        <w:lang w:eastAsia="sv-SE"/>
      </w:rPr>
      <w:t xml:space="preserve">Hedemora </w:t>
    </w:r>
    <w:r w:rsidRPr="00654A2A">
      <w:rPr>
        <w:rFonts w:eastAsia="Calibri" w:cs="Times New Roman"/>
        <w:noProof/>
        <w:color w:val="A3AB11"/>
        <w:szCs w:val="24"/>
        <w:lang w:eastAsia="sv-SE"/>
      </w:rPr>
      <w:t>|</w:t>
    </w:r>
    <w:r>
      <w:rPr>
        <w:rFonts w:eastAsia="Calibri" w:cs="Times New Roman"/>
        <w:noProof/>
        <w:color w:val="A3AB11"/>
        <w:szCs w:val="24"/>
        <w:lang w:eastAsia="sv-SE"/>
      </w:rPr>
      <w:t xml:space="preserve"> Ludvika | Säter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C7CB" w14:textId="77777777" w:rsidR="00F27A7C" w:rsidRDefault="00F27A7C" w:rsidP="002F4D5B">
      <w:pPr>
        <w:spacing w:after="0" w:line="240" w:lineRule="auto"/>
      </w:pPr>
      <w:r>
        <w:separator/>
      </w:r>
    </w:p>
  </w:footnote>
  <w:footnote w:type="continuationSeparator" w:id="0">
    <w:p w14:paraId="5BEC7910" w14:textId="77777777" w:rsidR="00F27A7C" w:rsidRDefault="00F27A7C" w:rsidP="002F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3" w:type="dxa"/>
      <w:tblInd w:w="56"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56" w:type="dxa"/>
        <w:right w:w="56" w:type="dxa"/>
      </w:tblCellMar>
      <w:tblLook w:val="0000" w:firstRow="0" w:lastRow="0" w:firstColumn="0" w:lastColumn="0" w:noHBand="0" w:noVBand="0"/>
    </w:tblPr>
    <w:tblGrid>
      <w:gridCol w:w="3402"/>
      <w:gridCol w:w="5751"/>
    </w:tblGrid>
    <w:tr w:rsidR="00F27A7C" w:rsidRPr="007B0A2B" w14:paraId="09FC207F" w14:textId="77777777" w:rsidTr="009C32EE">
      <w:trPr>
        <w:cantSplit/>
        <w:trHeight w:val="330"/>
      </w:trPr>
      <w:tc>
        <w:tcPr>
          <w:tcW w:w="3402" w:type="dxa"/>
          <w:vMerge w:val="restart"/>
        </w:tcPr>
        <w:p w14:paraId="25FC55BE" w14:textId="3FF2BAE0" w:rsidR="00F27A7C" w:rsidRPr="007B0A2B" w:rsidRDefault="00F27A7C" w:rsidP="00385129">
          <w:pPr>
            <w:rPr>
              <w:sz w:val="16"/>
            </w:rPr>
          </w:pPr>
          <w:r>
            <w:rPr>
              <w:noProof/>
              <w:sz w:val="16"/>
              <w:lang w:eastAsia="sv-SE"/>
            </w:rPr>
            <w:drawing>
              <wp:inline distT="0" distB="0" distL="0" distR="0" wp14:anchorId="5DF7F08D" wp14:editId="4A4FC99F">
                <wp:extent cx="2089150" cy="479425"/>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 UhC 2020.jpg"/>
                        <pic:cNvPicPr/>
                      </pic:nvPicPr>
                      <pic:blipFill>
                        <a:blip r:embed="rId1">
                          <a:extLst>
                            <a:ext uri="{28A0092B-C50C-407E-A947-70E740481C1C}">
                              <a14:useLocalDpi xmlns:a14="http://schemas.microsoft.com/office/drawing/2010/main" val="0"/>
                            </a:ext>
                          </a:extLst>
                        </a:blip>
                        <a:stretch>
                          <a:fillRect/>
                        </a:stretch>
                      </pic:blipFill>
                      <pic:spPr>
                        <a:xfrm>
                          <a:off x="0" y="0"/>
                          <a:ext cx="2089150" cy="479425"/>
                        </a:xfrm>
                        <a:prstGeom prst="rect">
                          <a:avLst/>
                        </a:prstGeom>
                      </pic:spPr>
                    </pic:pic>
                  </a:graphicData>
                </a:graphic>
              </wp:inline>
            </w:drawing>
          </w:r>
        </w:p>
      </w:tc>
      <w:tc>
        <w:tcPr>
          <w:tcW w:w="5751" w:type="dxa"/>
        </w:tcPr>
        <w:p w14:paraId="5C72209B" w14:textId="77777777" w:rsidR="00F27A7C" w:rsidRPr="000C0037" w:rsidRDefault="00F27A7C" w:rsidP="00385129">
          <w:pPr>
            <w:spacing w:after="60"/>
            <w:jc w:val="right"/>
            <w:rPr>
              <w:rFonts w:ascii="Franklin Gothic Medium" w:hAnsi="Franklin Gothic Medium" w:cs="Arial"/>
              <w:smallCaps/>
              <w:sz w:val="28"/>
              <w:szCs w:val="28"/>
            </w:rPr>
          </w:pPr>
          <w:r w:rsidRPr="000C0037">
            <w:rPr>
              <w:rFonts w:ascii="Franklin Gothic Medium" w:hAnsi="Franklin Gothic Medium" w:cs="Arial"/>
              <w:smallCaps/>
              <w:sz w:val="28"/>
              <w:szCs w:val="28"/>
            </w:rPr>
            <w:t>avtalsvillkor</w:t>
          </w:r>
        </w:p>
        <w:p w14:paraId="2159B832" w14:textId="54F2E2EB" w:rsidR="00F27A7C" w:rsidRPr="000C0037" w:rsidRDefault="000154D0" w:rsidP="00385129">
          <w:pPr>
            <w:spacing w:after="60"/>
            <w:jc w:val="right"/>
            <w:rPr>
              <w:rFonts w:ascii="Franklin Gothic Medium" w:hAnsi="Franklin Gothic Medium" w:cs="Arial"/>
              <w:smallCaps/>
              <w:sz w:val="28"/>
              <w:szCs w:val="28"/>
            </w:rPr>
          </w:pPr>
          <w:r>
            <w:rPr>
              <w:noProof/>
            </w:rPr>
            <w:t>GNU 2021/145</w:t>
          </w:r>
        </w:p>
      </w:tc>
    </w:tr>
    <w:tr w:rsidR="00F27A7C" w:rsidRPr="007B0A2B" w14:paraId="7FB919A5" w14:textId="77777777" w:rsidTr="009C32EE">
      <w:trPr>
        <w:cantSplit/>
        <w:trHeight w:val="580"/>
      </w:trPr>
      <w:tc>
        <w:tcPr>
          <w:tcW w:w="3402" w:type="dxa"/>
          <w:vMerge/>
        </w:tcPr>
        <w:p w14:paraId="287762CF" w14:textId="77777777" w:rsidR="00F27A7C" w:rsidRPr="007B0A2B" w:rsidRDefault="00F27A7C" w:rsidP="009A399B">
          <w:pPr>
            <w:rPr>
              <w:sz w:val="16"/>
            </w:rPr>
          </w:pPr>
        </w:p>
      </w:tc>
      <w:tc>
        <w:tcPr>
          <w:tcW w:w="5751" w:type="dxa"/>
          <w:vAlign w:val="center"/>
        </w:tcPr>
        <w:p w14:paraId="07165B4C" w14:textId="31080CA6" w:rsidR="00F27A7C" w:rsidRPr="007B0A2B" w:rsidRDefault="00F27A7C" w:rsidP="009A399B">
          <w:pPr>
            <w:spacing w:after="60"/>
            <w:jc w:val="right"/>
            <w:rPr>
              <w:b/>
              <w:smallCaps/>
            </w:rPr>
          </w:pPr>
        </w:p>
      </w:tc>
    </w:tr>
  </w:tbl>
  <w:p w14:paraId="7B19C121" w14:textId="77777777" w:rsidR="00F27A7C" w:rsidRDefault="00F27A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9" w:type="dxa"/>
      <w:tblInd w:w="56"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56" w:type="dxa"/>
        <w:right w:w="56" w:type="dxa"/>
      </w:tblCellMar>
      <w:tblLook w:val="0000" w:firstRow="0" w:lastRow="0" w:firstColumn="0" w:lastColumn="0" w:noHBand="0" w:noVBand="0"/>
    </w:tblPr>
    <w:tblGrid>
      <w:gridCol w:w="3625"/>
      <w:gridCol w:w="5824"/>
    </w:tblGrid>
    <w:tr w:rsidR="0013070F" w:rsidRPr="00D31F64" w14:paraId="3C2F9922" w14:textId="77777777" w:rsidTr="002738AB">
      <w:trPr>
        <w:cantSplit/>
        <w:trHeight w:val="330"/>
      </w:trPr>
      <w:tc>
        <w:tcPr>
          <w:tcW w:w="3625" w:type="dxa"/>
          <w:vMerge w:val="restart"/>
        </w:tcPr>
        <w:p w14:paraId="625AAD37" w14:textId="3479A4B5" w:rsidR="0013070F" w:rsidRPr="003A7334" w:rsidRDefault="0013070F" w:rsidP="0013070F">
          <w:pPr>
            <w:spacing w:after="0" w:line="240" w:lineRule="auto"/>
            <w:ind w:right="-138"/>
            <w:rPr>
              <w:rFonts w:eastAsia="Times New Roman" w:cs="Times New Roman"/>
              <w:sz w:val="16"/>
              <w:szCs w:val="24"/>
              <w:lang w:eastAsia="sv-SE"/>
            </w:rPr>
          </w:pPr>
          <w:r>
            <w:rPr>
              <w:rFonts w:eastAsia="Times New Roman" w:cs="Times New Roman"/>
              <w:noProof/>
              <w:sz w:val="16"/>
              <w:szCs w:val="24"/>
              <w:lang w:eastAsia="sv-SE"/>
            </w:rPr>
            <w:drawing>
              <wp:inline distT="0" distB="0" distL="0" distR="0" wp14:anchorId="39B08F18" wp14:editId="3830080E">
                <wp:extent cx="2230755" cy="5124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UhC 2020.jpg"/>
                        <pic:cNvPicPr/>
                      </pic:nvPicPr>
                      <pic:blipFill>
                        <a:blip r:embed="rId1">
                          <a:extLst>
                            <a:ext uri="{28A0092B-C50C-407E-A947-70E740481C1C}">
                              <a14:useLocalDpi xmlns:a14="http://schemas.microsoft.com/office/drawing/2010/main" val="0"/>
                            </a:ext>
                          </a:extLst>
                        </a:blip>
                        <a:stretch>
                          <a:fillRect/>
                        </a:stretch>
                      </pic:blipFill>
                      <pic:spPr>
                        <a:xfrm>
                          <a:off x="0" y="0"/>
                          <a:ext cx="2230755" cy="512445"/>
                        </a:xfrm>
                        <a:prstGeom prst="rect">
                          <a:avLst/>
                        </a:prstGeom>
                      </pic:spPr>
                    </pic:pic>
                  </a:graphicData>
                </a:graphic>
              </wp:inline>
            </w:drawing>
          </w:r>
          <w:r>
            <w:rPr>
              <w:rFonts w:eastAsia="Times New Roman" w:cs="Times New Roman"/>
              <w:sz w:val="16"/>
              <w:szCs w:val="24"/>
              <w:lang w:eastAsia="sv-SE"/>
            </w:rPr>
            <w:t xml:space="preserve"> </w:t>
          </w:r>
        </w:p>
      </w:tc>
      <w:tc>
        <w:tcPr>
          <w:tcW w:w="5824" w:type="dxa"/>
        </w:tcPr>
        <w:p w14:paraId="3400DD05" w14:textId="77777777" w:rsidR="0013070F" w:rsidRPr="000C0037" w:rsidRDefault="0013070F" w:rsidP="0013070F">
          <w:pPr>
            <w:spacing w:after="60"/>
            <w:jc w:val="right"/>
            <w:rPr>
              <w:rFonts w:ascii="Franklin Gothic Medium" w:hAnsi="Franklin Gothic Medium" w:cs="Arial"/>
              <w:smallCaps/>
              <w:sz w:val="28"/>
              <w:szCs w:val="28"/>
            </w:rPr>
          </w:pPr>
          <w:r w:rsidRPr="000C0037">
            <w:rPr>
              <w:rFonts w:ascii="Franklin Gothic Medium" w:hAnsi="Franklin Gothic Medium" w:cs="Arial"/>
              <w:smallCaps/>
              <w:sz w:val="28"/>
              <w:szCs w:val="28"/>
            </w:rPr>
            <w:t>avtalsvillkor</w:t>
          </w:r>
        </w:p>
        <w:p w14:paraId="516F76DB" w14:textId="202BE4C1" w:rsidR="0013070F" w:rsidRPr="002738AB" w:rsidRDefault="0013070F" w:rsidP="0013070F">
          <w:pPr>
            <w:spacing w:after="60" w:line="240" w:lineRule="auto"/>
            <w:jc w:val="right"/>
            <w:rPr>
              <w:rFonts w:ascii="Franklin Gothic Medium" w:eastAsia="Times New Roman" w:hAnsi="Franklin Gothic Medium" w:cs="Arial"/>
              <w:smallCaps/>
              <w:sz w:val="28"/>
              <w:szCs w:val="28"/>
              <w:lang w:eastAsia="sv-SE"/>
            </w:rPr>
          </w:pPr>
          <w:r>
            <w:rPr>
              <w:noProof/>
            </w:rPr>
            <w:t>GNU 2021/145</w:t>
          </w:r>
        </w:p>
      </w:tc>
    </w:tr>
    <w:tr w:rsidR="0013070F" w:rsidRPr="003A7334" w14:paraId="621E652C" w14:textId="77777777" w:rsidTr="007E7731">
      <w:trPr>
        <w:cantSplit/>
        <w:trHeight w:val="640"/>
      </w:trPr>
      <w:tc>
        <w:tcPr>
          <w:tcW w:w="3625" w:type="dxa"/>
          <w:vMerge/>
        </w:tcPr>
        <w:p w14:paraId="09128492" w14:textId="77777777" w:rsidR="0013070F" w:rsidRPr="003A7334" w:rsidRDefault="0013070F" w:rsidP="0013070F">
          <w:pPr>
            <w:spacing w:after="0" w:line="240" w:lineRule="auto"/>
            <w:rPr>
              <w:rFonts w:eastAsia="Times New Roman" w:cs="Times New Roman"/>
              <w:sz w:val="16"/>
              <w:szCs w:val="24"/>
              <w:lang w:eastAsia="sv-SE"/>
            </w:rPr>
          </w:pPr>
        </w:p>
      </w:tc>
      <w:tc>
        <w:tcPr>
          <w:tcW w:w="5824" w:type="dxa"/>
        </w:tcPr>
        <w:p w14:paraId="26749900" w14:textId="54E4281E" w:rsidR="0013070F" w:rsidRPr="003A7334" w:rsidRDefault="0013070F" w:rsidP="0013070F">
          <w:pPr>
            <w:spacing w:after="60" w:line="240" w:lineRule="auto"/>
            <w:jc w:val="right"/>
            <w:rPr>
              <w:rFonts w:ascii="Arial" w:eastAsia="Times New Roman" w:hAnsi="Arial" w:cs="Arial"/>
              <w:b/>
              <w:smallCaps/>
              <w:szCs w:val="24"/>
              <w:lang w:eastAsia="sv-SE"/>
            </w:rPr>
          </w:pPr>
        </w:p>
      </w:tc>
    </w:tr>
  </w:tbl>
  <w:p w14:paraId="431C3076" w14:textId="77777777" w:rsidR="00F27A7C" w:rsidRPr="00895673" w:rsidRDefault="00F27A7C">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EB4"/>
    <w:multiLevelType w:val="hybridMultilevel"/>
    <w:tmpl w:val="0C72D5F2"/>
    <w:lvl w:ilvl="0" w:tplc="956A8926">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15:restartNumberingAfterBreak="0">
    <w:nsid w:val="0C275A4B"/>
    <w:multiLevelType w:val="hybridMultilevel"/>
    <w:tmpl w:val="64CC5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8F7A60"/>
    <w:multiLevelType w:val="hybridMultilevel"/>
    <w:tmpl w:val="0630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607F2D"/>
    <w:multiLevelType w:val="hybridMultilevel"/>
    <w:tmpl w:val="7AEAD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5D59F5"/>
    <w:multiLevelType w:val="hybridMultilevel"/>
    <w:tmpl w:val="9084A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A328BF"/>
    <w:multiLevelType w:val="hybridMultilevel"/>
    <w:tmpl w:val="E1AAE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CC05BD"/>
    <w:multiLevelType w:val="hybridMultilevel"/>
    <w:tmpl w:val="BFF256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DD638FA"/>
    <w:multiLevelType w:val="hybridMultilevel"/>
    <w:tmpl w:val="09C66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935DE2"/>
    <w:multiLevelType w:val="hybridMultilevel"/>
    <w:tmpl w:val="CABE8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1ED1B01"/>
    <w:multiLevelType w:val="hybridMultilevel"/>
    <w:tmpl w:val="4CD4C2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3446C5D"/>
    <w:multiLevelType w:val="hybridMultilevel"/>
    <w:tmpl w:val="D2DCB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1B3A1F"/>
    <w:multiLevelType w:val="multilevel"/>
    <w:tmpl w:val="79CAC74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Times New Roman" w:hAnsi="Times New Roman" w:cs="Times New Roman" w:hint="default"/>
        <w:b w:val="0"/>
        <w:i w:val="0"/>
        <w:sz w:val="32"/>
        <w:szCs w:val="3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12" w15:restartNumberingAfterBreak="0">
    <w:nsid w:val="391B7E5D"/>
    <w:multiLevelType w:val="hybridMultilevel"/>
    <w:tmpl w:val="FEA000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447E6891"/>
    <w:multiLevelType w:val="multilevel"/>
    <w:tmpl w:val="AAE24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D942A6"/>
    <w:multiLevelType w:val="multilevel"/>
    <w:tmpl w:val="517A0978"/>
    <w:lvl w:ilvl="0">
      <w:start w:val="1"/>
      <w:numFmt w:val="decimal"/>
      <w:pStyle w:val="Rubrik1"/>
      <w:lvlText w:val="%1"/>
      <w:lvlJc w:val="left"/>
      <w:pPr>
        <w:ind w:left="432" w:hanging="432"/>
      </w:pPr>
    </w:lvl>
    <w:lvl w:ilvl="1">
      <w:start w:val="1"/>
      <w:numFmt w:val="decimal"/>
      <w:pStyle w:val="Rubrik2"/>
      <w:lvlText w:val="%1.%2"/>
      <w:lvlJc w:val="left"/>
      <w:pPr>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rPr>
        <w:rFonts w:ascii="Arial" w:hAnsi="Arial" w:cs="Arial" w:hint="default"/>
        <w:b w:val="0"/>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480F2E"/>
    <w:multiLevelType w:val="hybridMultilevel"/>
    <w:tmpl w:val="263E7C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7121B26"/>
    <w:multiLevelType w:val="hybridMultilevel"/>
    <w:tmpl w:val="803AA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8E4B4E"/>
    <w:multiLevelType w:val="hybridMultilevel"/>
    <w:tmpl w:val="7CCC1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440018"/>
    <w:multiLevelType w:val="hybridMultilevel"/>
    <w:tmpl w:val="97B0A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5"/>
  </w:num>
  <w:num w:numId="4">
    <w:abstractNumId w:val="13"/>
  </w:num>
  <w:num w:numId="5">
    <w:abstractNumId w:val="2"/>
  </w:num>
  <w:num w:numId="6">
    <w:abstractNumId w:val="16"/>
  </w:num>
  <w:num w:numId="7">
    <w:abstractNumId w:val="5"/>
  </w:num>
  <w:num w:numId="8">
    <w:abstractNumId w:val="11"/>
  </w:num>
  <w:num w:numId="9">
    <w:abstractNumId w:val="4"/>
  </w:num>
  <w:num w:numId="10">
    <w:abstractNumId w:val="1"/>
  </w:num>
  <w:num w:numId="11">
    <w:abstractNumId w:val="3"/>
  </w:num>
  <w:num w:numId="12">
    <w:abstractNumId w:val="7"/>
  </w:num>
  <w:num w:numId="13">
    <w:abstractNumId w:val="17"/>
  </w:num>
  <w:num w:numId="14">
    <w:abstractNumId w:val="8"/>
  </w:num>
  <w:num w:numId="15">
    <w:abstractNumId w:val="6"/>
  </w:num>
  <w:num w:numId="16">
    <w:abstractNumId w:val="10"/>
  </w:num>
  <w:num w:numId="17">
    <w:abstractNumId w:val="12"/>
  </w:num>
  <w:num w:numId="18">
    <w:abstractNumId w:val="18"/>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avrop1" w:val="Upp_Form"/>
    <w:docVar w:name="eavrop10" w:val="Upp_HeltDelat"/>
    <w:docVar w:name="eavrop11" w:val="Upp_AvtalsForm"/>
    <w:docVar w:name="eavrop12" w:val="Upp_FornyadGrans"/>
    <w:docVar w:name="eavrop13" w:val="Upp_Information"/>
    <w:docVar w:name="eavrop14" w:val="Upp_Samordnad"/>
    <w:docVar w:name="eavrop15" w:val="Org_Namn"/>
    <w:docVar w:name="eavrop16" w:val="Org_Adress"/>
    <w:docVar w:name="eavrop17" w:val="Org_Postadress"/>
    <w:docVar w:name="eavrop18" w:val="Org_Ort"/>
    <w:docVar w:name="eavrop19" w:val="Org_Tel"/>
    <w:docVar w:name="eavrop2" w:val="Upp_Kategori"/>
    <w:docVar w:name="eavrop20" w:val="Org_Fax"/>
    <w:docVar w:name="eavrop21" w:val="Org_Nr"/>
    <w:docVar w:name="eavrop22" w:val="Org_UpphandlareNamn"/>
    <w:docVar w:name="eavrop23" w:val="Org_UpphandlareEpost"/>
    <w:docVar w:name="eavrop24" w:val="Org_UpphandlareTel"/>
    <w:docVar w:name="eavrop25" w:val="Org_AvtalsagareNamn"/>
    <w:docVar w:name="eavrop26" w:val="Org_AvtalsagareEpost"/>
    <w:docVar w:name="eavrop27" w:val="Org_KvalitetsansvarigsNamn"/>
    <w:docVar w:name="eavrop28" w:val="Org_KvalitetsansvarigsEpost"/>
    <w:docVar w:name="eavrop29" w:val="Dat_Annons"/>
    <w:docVar w:name="eavrop3" w:val="Upp_Varugrupp"/>
    <w:docVar w:name="eavrop30" w:val="Dat_Sistaansokan2"/>
    <w:docVar w:name="eavrop31" w:val="Dat_SistaFragaAnsokan2"/>
    <w:docVar w:name="eavrop32" w:val="Dat_UtskickUnderlag2"/>
    <w:docVar w:name="eavrop33" w:val="Dat_SistaAnbud"/>
    <w:docVar w:name="eavrop34" w:val="Dat_SistaFraga"/>
    <w:docVar w:name="eavrop35" w:val="Dat_Oppna"/>
    <w:docVar w:name="eavrop36" w:val="Dat_Tilldela"/>
    <w:docVar w:name="eavrop37" w:val="Dat_Kontrakt"/>
    <w:docVar w:name="eavrop38" w:val="Dat_Bindande"/>
    <w:docVar w:name="eavrop39" w:val="Dat_AvtalFran"/>
    <w:docVar w:name="eavrop4" w:val="Upp_Namn"/>
    <w:docVar w:name="eavrop40" w:val="Dat_AvtalTill"/>
    <w:docVar w:name="eavrop41" w:val="Dat_FastPris"/>
    <w:docVar w:name="eavrop42" w:val="Dat_Forlangning1"/>
    <w:docVar w:name="eavrop43" w:val="Dat_Forlangning2"/>
    <w:docVar w:name="eavrop44" w:val="Dat_Forlangning3"/>
    <w:docVar w:name="eavrop45" w:val="Dat_Forlangning4"/>
    <w:docVar w:name="eavrop46" w:val="Dat_Forlangning5"/>
    <w:docVar w:name="eavrop47" w:val="Dat_AntalAnnonsDagar"/>
    <w:docVar w:name="eavrop48" w:val="Dat_AntalAnbudsdagar"/>
    <w:docVar w:name="eavrop49" w:val="Dat_AntalProjektdagar"/>
    <w:docVar w:name="eavrop5" w:val="Upp_Omfattning"/>
    <w:docVar w:name="eavrop50" w:val="Dat_AntalUpphandlingsdagar"/>
    <w:docVar w:name="eavrop51" w:val="Dat_AntalDagar"/>
    <w:docVar w:name="eavrop52" w:val="Lev_Postadress"/>
    <w:docVar w:name="eavrop53" w:val="Lev_Kontaktperson"/>
    <w:docVar w:name="eavrop54" w:val="Lev_Kontaktepost"/>
    <w:docVar w:name="eavrop55" w:val="Lev_OrgNr"/>
    <w:docVar w:name="eavrop56" w:val="Lev_Namn"/>
    <w:docVar w:name="eavrop57" w:val="Lev_Adress"/>
    <w:docVar w:name="eavrop58" w:val="Lev_Tel"/>
    <w:docVar w:name="eavrop59" w:val="Lev_SubGroups"/>
    <w:docVar w:name="eavrop6" w:val="Upp_Varde"/>
    <w:docVar w:name="eavrop60" w:val="Rap_ListaProjektgrupp"/>
    <w:docVar w:name="eavrop61" w:val="Rap_AntalIntressenter"/>
    <w:docVar w:name="eavrop62" w:val="Rap_AntalPrenumeranter"/>
    <w:docVar w:name="eavrop63" w:val="Rap_AntalAnsokningar2"/>
    <w:docVar w:name="eavrop64" w:val="Rap_ListaAnsokningar2"/>
    <w:docVar w:name="eavrop65" w:val="Rap_AntalKvalificerade2"/>
    <w:docVar w:name="eavrop66" w:val="Rap_ListaKvalificerade2"/>
    <w:docVar w:name="eavrop67" w:val="Rap_AntalAnbud"/>
    <w:docVar w:name="eavrop68" w:val="Rap_ListaAnbud"/>
    <w:docVar w:name="eavrop69" w:val="Rap_AntalVinnare"/>
    <w:docVar w:name="eavrop7" w:val="Upp_Diarie"/>
    <w:docVar w:name="eavrop70" w:val="Rap_ListVinnare"/>
    <w:docVar w:name="eavrop71" w:val="Rap_InternKommentar"/>
    <w:docVar w:name="eavrop72" w:val="Rap_AnmKvalificering"/>
    <w:docVar w:name="eavrop8" w:val="Upp_CPV"/>
    <w:docVar w:name="eavrop9" w:val="Upp_AntaAnbud"/>
    <w:docVar w:name="eavropG1" w:val="Upphandling"/>
    <w:docVar w:name="eavropG10" w:val="Grunduppgifter"/>
    <w:docVar w:name="eavropG11" w:val="Grunduppgifter"/>
    <w:docVar w:name="eavropG12" w:val="Grunduppgifter"/>
    <w:docVar w:name="eavropG13" w:val="Grunduppgifter"/>
    <w:docVar w:name="eavropG14" w:val="Grunduppgifter"/>
    <w:docVar w:name="eavropG15" w:val="Organisationen"/>
    <w:docVar w:name="eavropG16" w:val="Organisationen"/>
    <w:docVar w:name="eavropG17" w:val="Organisationen"/>
    <w:docVar w:name="eavropG18" w:val="Organisationen"/>
    <w:docVar w:name="eavropG19" w:val="Organisationen"/>
    <w:docVar w:name="eavropG2" w:val="Upphandling"/>
    <w:docVar w:name="eavropG20" w:val="Organisationen"/>
    <w:docVar w:name="eavropG21" w:val="Organisationen"/>
    <w:docVar w:name="eavropG22" w:val="Organisationen"/>
    <w:docVar w:name="eavropG23" w:val="Organisationen"/>
    <w:docVar w:name="eavropG24" w:val="Organisationen"/>
    <w:docVar w:name="eavropG25" w:val="Organisationen"/>
    <w:docVar w:name="eavropG26" w:val="Organisationen"/>
    <w:docVar w:name="eavropG27" w:val="Organisationen"/>
    <w:docVar w:name="eavropG28" w:val="Organisationen"/>
    <w:docVar w:name="eavropG29" w:val="Dateringar"/>
    <w:docVar w:name="eavropG3" w:val="Upphandling"/>
    <w:docVar w:name="eavropG30" w:val="Dateringar"/>
    <w:docVar w:name="eavropG31" w:val="Dateringar"/>
    <w:docVar w:name="eavropG32" w:val="Dateringar"/>
    <w:docVar w:name="eavropG33" w:val="Dateringar"/>
    <w:docVar w:name="eavropG34" w:val="Dateringar"/>
    <w:docVar w:name="eavropG35" w:val="Dateringar"/>
    <w:docVar w:name="eavropG36" w:val="Dateringar"/>
    <w:docVar w:name="eavropG37" w:val="Dateringar"/>
    <w:docVar w:name="eavropG38" w:val="Dateringar"/>
    <w:docVar w:name="eavropG39" w:val="Dateringar"/>
    <w:docVar w:name="eavropG4" w:val="Upphandling"/>
    <w:docVar w:name="eavropG40" w:val="Dateringar"/>
    <w:docVar w:name="eavropG41" w:val="Dateringar"/>
    <w:docVar w:name="eavropG42" w:val="Dateringar"/>
    <w:docVar w:name="eavropG43" w:val="Dateringar"/>
    <w:docVar w:name="eavropG44" w:val="Dateringar"/>
    <w:docVar w:name="eavropG45" w:val="Dateringar"/>
    <w:docVar w:name="eavropG46" w:val="Dateringar"/>
    <w:docVar w:name="eavropG47" w:val="Dateringar"/>
    <w:docVar w:name="eavropG48" w:val="Dateringar"/>
    <w:docVar w:name="eavropG49" w:val="Dateringar"/>
    <w:docVar w:name="eavropG5" w:val="Upphandling"/>
    <w:docVar w:name="eavropG50" w:val="Dateringar"/>
    <w:docVar w:name="eavropG51" w:val="Dateringar"/>
    <w:docVar w:name="eavropG52" w:val="Vinnande Leverantör"/>
    <w:docVar w:name="eavropG53" w:val="Vinnande Leverantör"/>
    <w:docVar w:name="eavropG54" w:val="Vinnande Leverantör"/>
    <w:docVar w:name="eavropG55" w:val="Vinnande Leverantör"/>
    <w:docVar w:name="eavropG56" w:val="Vinnande Leverantör"/>
    <w:docVar w:name="eavropG57" w:val="Vinnande Leverantör"/>
    <w:docVar w:name="eavropG58" w:val="Vinnande Leverantör"/>
    <w:docVar w:name="eavropG59" w:val="Vinnande Leverantör"/>
    <w:docVar w:name="eavropG6" w:val="Upphandling"/>
    <w:docVar w:name="eavropG60" w:val="Rapportinformation"/>
    <w:docVar w:name="eavropG61" w:val="Rapportinformation"/>
    <w:docVar w:name="eavropG62" w:val="Rapportinformation"/>
    <w:docVar w:name="eavropG63" w:val="Rapportinformation"/>
    <w:docVar w:name="eavropG64" w:val="Rapportinformation"/>
    <w:docVar w:name="eavropG65" w:val="Rapportinformation"/>
    <w:docVar w:name="eavropG66" w:val="Rapportinformation"/>
    <w:docVar w:name="eavropG67" w:val="Rapportinformation"/>
    <w:docVar w:name="eavropG68" w:val="Rapportinformation"/>
    <w:docVar w:name="eavropG69" w:val="Rapportinformation"/>
    <w:docVar w:name="eavropG7" w:val="Upphandling"/>
    <w:docVar w:name="eavropG70" w:val="Rapportinformation"/>
    <w:docVar w:name="eavropG71" w:val="Rapportinformation"/>
    <w:docVar w:name="eavropG72" w:val="Rapportinformation"/>
    <w:docVar w:name="eavropG8" w:val="Upphandling"/>
    <w:docVar w:name="eavropG9" w:val="Grunduppgifter"/>
    <w:docVar w:name="eavropX1" w:val="Upphandlingsförfarande"/>
    <w:docVar w:name="eavropX10" w:val="Typ av utvärdering. Helt eller delat anbud."/>
    <w:docVar w:name="eavropX11" w:val="Typ av avtal: rangordnat, förnyad konkurrens, komboavtal eller avtal med 1 leverantör."/>
    <w:docVar w:name="eavropX12" w:val="Gräns när förnyad konkurrensutsättning ska användas. Gäller för rangordnade avtal."/>
    <w:docVar w:name="eavropX13" w:val="Beskrivning av fråga svar, anbudsinlämning och avtalstyp riktad till leverantören."/>
    <w:docVar w:name="eavropX14" w:val="Listar vilka upphandlingen samordnas med"/>
    <w:docVar w:name="eavropX15" w:val="Organisationens namn"/>
    <w:docVar w:name="eavropX16" w:val="Organisationens Adress"/>
    <w:docVar w:name="eavropX17" w:val="Organisationens Postadress"/>
    <w:docVar w:name="eavropX18" w:val="Organisationens Ort"/>
    <w:docVar w:name="eavropX19" w:val="Organisationens Telefonnummer"/>
    <w:docVar w:name="eavropX2" w:val="Avtalets kategori. Namnet som information i upphandlingen och för att kategorisera avtalen i avtalsdatabasen."/>
    <w:docVar w:name="eavropX20" w:val="Organisationens Telefaxnummer"/>
    <w:docVar w:name="eavropX21" w:val="Vårt organisationsnummer"/>
    <w:docVar w:name="eavropX22" w:val="Ansvarig upphandlares namn"/>
    <w:docVar w:name="eavropX23" w:val="Ansvarig upphandlares e-post"/>
    <w:docVar w:name="eavropX24" w:val="Ansvarig upphandlares telefon"/>
    <w:docVar w:name="eavropX25" w:val="Avtalsägarens namn"/>
    <w:docVar w:name="eavropX26" w:val="Avtalsägarens e-post"/>
    <w:docVar w:name="eavropX27" w:val="Namn på kvalitetsansvarig för avtalet"/>
    <w:docVar w:name="eavropX28" w:val="E-post till kvalitetsansvarig för avtalet"/>
    <w:docVar w:name="eavropX29" w:val="Första dag då annonsen kan publiceras"/>
    <w:docVar w:name="eavropX3" w:val="Avtalets varugrupp. Namnet som information i upphandlingen och för att gruppera avtalen i avtalsdatabasen."/>
    <w:docVar w:name="eavropX30" w:val="Sista dag för att inkomma med ansökan (sel, urv, förh.)"/>
    <w:docVar w:name="eavropX31" w:val="Sista dag för frågor ansökan (sel, urv, förh.)"/>
    <w:docVar w:name="eavropX32" w:val="Datum för utskick av förfrågningsunderlag till kvalificerade leverantörer (sel, urv, förh.)"/>
    <w:docVar w:name="eavropX33" w:val="Sista anbudsdag"/>
    <w:docVar w:name="eavropX34" w:val="Sista dag att inkomma med frågor"/>
    <w:docVar w:name="eavropX35" w:val="Anbudsöppning"/>
    <w:docVar w:name="eavropX36" w:val="Datum för tilldelningsbeslut"/>
    <w:docVar w:name="eavropX37" w:val="Datum för kontraktstilldelning"/>
    <w:docVar w:name="eavropX38" w:val="Anbudet bindande t.o.m"/>
    <w:docVar w:name="eavropX39" w:val="Avtalsperiod från"/>
    <w:docVar w:name="eavropX4" w:val="Upphandlingens namn"/>
    <w:docVar w:name="eavropX40" w:val="Avtalsperiod till"/>
    <w:docVar w:name="eavropX41" w:val="Avtalade priser fasta t.o.m"/>
    <w:docVar w:name="eavropX42" w:val="Förlängningsoption1"/>
    <w:docVar w:name="eavropX43" w:val="Förlängningsoption2"/>
    <w:docVar w:name="eavropX44" w:val="Förlängningsoption3"/>
    <w:docVar w:name="eavropX45" w:val="Förlängningsoption4"/>
    <w:docVar w:name="eavropX46" w:val="Förlängningsoption5"/>
    <w:docVar w:name="eavropX47" w:val="Antal dagar mellan annonsering och sista anbudsdag/ansökningsdag i (sel, urv, förh.)"/>
    <w:docVar w:name="eavropX48" w:val="Antal dagar mellan annons och sista anbudsdag eller mellan utskick underlag och sista anbudsdag (sel, urv, förh)"/>
    <w:docVar w:name="eavropX49" w:val="Antal dagar mellan start och annonsering"/>
    <w:docVar w:name="eavropX5" w:val="Beskrivning av upphandlingens omfattning"/>
    <w:docVar w:name="eavropX50" w:val="Antal dagar mellan annons och kontrakt eller mellan utskick underlag och kontrakt (sel, urv, förh)"/>
    <w:docVar w:name="eavropX51" w:val="Antal dagar hela projektet"/>
    <w:docVar w:name="eavropX52" w:val="Postadress Vinnande anbud"/>
    <w:docVar w:name="eavropX53" w:val="Kontaktperson Vinnande anbud"/>
    <w:docVar w:name="eavropX54" w:val="Kontakt e-post Vinnande anbud"/>
    <w:docVar w:name="eavropX55" w:val="Organisationsnummer Vinnande anbud"/>
    <w:docVar w:name="eavropX56" w:val="Företagsnamn Vinnande anbud"/>
    <w:docVar w:name="eavropX57" w:val="Adress Vinnande anbud"/>
    <w:docVar w:name="eavropX58" w:val="Telefon Vinnande anbud"/>
    <w:docVar w:name="eavropX59" w:val="Undergrupp Vinnande anbud"/>
    <w:docVar w:name="eavropX6" w:val="Upphandlingens värde"/>
    <w:docVar w:name="eavropX60" w:val="Lista på projektmedlemmar"/>
    <w:docVar w:name="eavropX61" w:val="Antal intressenter som meddelades om denna upphandling vid annonseringstillfället"/>
    <w:docVar w:name="eavropX62" w:val="Antal som hämtat förfrågningsunderlaget"/>
    <w:docVar w:name="eavropX63" w:val="Antal företag som inkommit med ansökan i (sel, urv, förh)"/>
    <w:docVar w:name="eavropX64" w:val="Lista med sökande företag (sel, urv, förh)"/>
    <w:docVar w:name="eavropX65" w:val="Antal kvalificerade företag (sel, urv, förh)"/>
    <w:docVar w:name="eavropX66" w:val="Lista med kvalificerade företag (sel, urv, förh)"/>
    <w:docVar w:name="eavropX67" w:val="Antal inkomna anbud"/>
    <w:docVar w:name="eavropX68" w:val="Lista med inkomna anbud"/>
    <w:docVar w:name="eavropX69" w:val="Antal vinnande anbud"/>
    <w:docVar w:name="eavropX7" w:val="Upphandlingens diarienummer"/>
    <w:docVar w:name="eavropX70" w:val="Lista med vinnande anbud"/>
    <w:docVar w:name="eavropX71" w:val="Lista med anbudsgivare och inter kommentar"/>
    <w:docVar w:name="eavropX72" w:val="Lista med anbudsgivare och diskning-kommentar"/>
    <w:docVar w:name="eavropX8" w:val="Upphandlingens valda CPV-kodning"/>
    <w:docVar w:name="eavropX9" w:val="Hur anbud antas. Kan vara lägsta pris eller ekonomiskt mest fördelaktiga."/>
  </w:docVars>
  <w:rsids>
    <w:rsidRoot w:val="002F4D5B"/>
    <w:rsid w:val="00001BC5"/>
    <w:rsid w:val="00001E63"/>
    <w:rsid w:val="0000315F"/>
    <w:rsid w:val="0001109E"/>
    <w:rsid w:val="00013E16"/>
    <w:rsid w:val="00014AB2"/>
    <w:rsid w:val="000154D0"/>
    <w:rsid w:val="00045A5A"/>
    <w:rsid w:val="00047097"/>
    <w:rsid w:val="000537CB"/>
    <w:rsid w:val="00062158"/>
    <w:rsid w:val="00062E0C"/>
    <w:rsid w:val="000654D1"/>
    <w:rsid w:val="000668FC"/>
    <w:rsid w:val="00067A12"/>
    <w:rsid w:val="00070F4E"/>
    <w:rsid w:val="000771DC"/>
    <w:rsid w:val="00077ADD"/>
    <w:rsid w:val="0008280E"/>
    <w:rsid w:val="00086C30"/>
    <w:rsid w:val="00090A50"/>
    <w:rsid w:val="00096F4F"/>
    <w:rsid w:val="00097615"/>
    <w:rsid w:val="000A0BC3"/>
    <w:rsid w:val="000A1362"/>
    <w:rsid w:val="000A5CCF"/>
    <w:rsid w:val="000B0A39"/>
    <w:rsid w:val="000B0D83"/>
    <w:rsid w:val="000B1EE2"/>
    <w:rsid w:val="000B4EB6"/>
    <w:rsid w:val="000C0037"/>
    <w:rsid w:val="000C13F4"/>
    <w:rsid w:val="000C7E15"/>
    <w:rsid w:val="000D4AEA"/>
    <w:rsid w:val="000D7383"/>
    <w:rsid w:val="000E2862"/>
    <w:rsid w:val="000E2B20"/>
    <w:rsid w:val="001078C9"/>
    <w:rsid w:val="001132E5"/>
    <w:rsid w:val="0011348F"/>
    <w:rsid w:val="00117723"/>
    <w:rsid w:val="0013070F"/>
    <w:rsid w:val="00135232"/>
    <w:rsid w:val="00136276"/>
    <w:rsid w:val="001442DD"/>
    <w:rsid w:val="00144A51"/>
    <w:rsid w:val="00150DEC"/>
    <w:rsid w:val="0015101F"/>
    <w:rsid w:val="0015190F"/>
    <w:rsid w:val="00154938"/>
    <w:rsid w:val="00162B6F"/>
    <w:rsid w:val="001644C9"/>
    <w:rsid w:val="00167AEE"/>
    <w:rsid w:val="00167C0A"/>
    <w:rsid w:val="00180A38"/>
    <w:rsid w:val="001824F7"/>
    <w:rsid w:val="00192EF1"/>
    <w:rsid w:val="001A1D0C"/>
    <w:rsid w:val="001A2ACF"/>
    <w:rsid w:val="001B2AD5"/>
    <w:rsid w:val="001B4D09"/>
    <w:rsid w:val="001D10A1"/>
    <w:rsid w:val="001D4EAD"/>
    <w:rsid w:val="001E7239"/>
    <w:rsid w:val="001F5327"/>
    <w:rsid w:val="00202B1B"/>
    <w:rsid w:val="00204351"/>
    <w:rsid w:val="0021043D"/>
    <w:rsid w:val="00214B8C"/>
    <w:rsid w:val="0022538A"/>
    <w:rsid w:val="00231744"/>
    <w:rsid w:val="002332E1"/>
    <w:rsid w:val="00246589"/>
    <w:rsid w:val="00252D71"/>
    <w:rsid w:val="002578F7"/>
    <w:rsid w:val="00260A63"/>
    <w:rsid w:val="00262A68"/>
    <w:rsid w:val="002738AB"/>
    <w:rsid w:val="002827BD"/>
    <w:rsid w:val="00283310"/>
    <w:rsid w:val="00285297"/>
    <w:rsid w:val="00287FB4"/>
    <w:rsid w:val="00296FBF"/>
    <w:rsid w:val="002A49C7"/>
    <w:rsid w:val="002A7B5B"/>
    <w:rsid w:val="002B50AB"/>
    <w:rsid w:val="002B5E81"/>
    <w:rsid w:val="002D4355"/>
    <w:rsid w:val="002D4F69"/>
    <w:rsid w:val="002D56A5"/>
    <w:rsid w:val="002E034D"/>
    <w:rsid w:val="002E6CCB"/>
    <w:rsid w:val="002F16BC"/>
    <w:rsid w:val="002F4D5B"/>
    <w:rsid w:val="003071E2"/>
    <w:rsid w:val="00316DFC"/>
    <w:rsid w:val="003270AA"/>
    <w:rsid w:val="003321C3"/>
    <w:rsid w:val="00340BF0"/>
    <w:rsid w:val="00340E34"/>
    <w:rsid w:val="0034135B"/>
    <w:rsid w:val="0034515C"/>
    <w:rsid w:val="003458CA"/>
    <w:rsid w:val="00351F24"/>
    <w:rsid w:val="00370E90"/>
    <w:rsid w:val="003727EF"/>
    <w:rsid w:val="0038419D"/>
    <w:rsid w:val="00385129"/>
    <w:rsid w:val="0038630C"/>
    <w:rsid w:val="003922EA"/>
    <w:rsid w:val="00392A67"/>
    <w:rsid w:val="0039369A"/>
    <w:rsid w:val="00395971"/>
    <w:rsid w:val="003A090D"/>
    <w:rsid w:val="003A11F6"/>
    <w:rsid w:val="003B0F0F"/>
    <w:rsid w:val="003C2C8E"/>
    <w:rsid w:val="003C5F37"/>
    <w:rsid w:val="003D656D"/>
    <w:rsid w:val="003E425A"/>
    <w:rsid w:val="003E719D"/>
    <w:rsid w:val="003E77FD"/>
    <w:rsid w:val="003F2E59"/>
    <w:rsid w:val="00405434"/>
    <w:rsid w:val="00406CA6"/>
    <w:rsid w:val="00416152"/>
    <w:rsid w:val="00417F2B"/>
    <w:rsid w:val="0043783B"/>
    <w:rsid w:val="004448DE"/>
    <w:rsid w:val="004515C5"/>
    <w:rsid w:val="004525C9"/>
    <w:rsid w:val="0045352A"/>
    <w:rsid w:val="004567F0"/>
    <w:rsid w:val="00461943"/>
    <w:rsid w:val="00463843"/>
    <w:rsid w:val="00470AD5"/>
    <w:rsid w:val="00470DD0"/>
    <w:rsid w:val="004730A2"/>
    <w:rsid w:val="00473E0A"/>
    <w:rsid w:val="0047436C"/>
    <w:rsid w:val="0047713B"/>
    <w:rsid w:val="00487A2B"/>
    <w:rsid w:val="0049590B"/>
    <w:rsid w:val="004A3D83"/>
    <w:rsid w:val="004A45CA"/>
    <w:rsid w:val="004A5AAB"/>
    <w:rsid w:val="004C01A1"/>
    <w:rsid w:val="004C53CC"/>
    <w:rsid w:val="004C5AC4"/>
    <w:rsid w:val="004D0E5B"/>
    <w:rsid w:val="004D2392"/>
    <w:rsid w:val="004F169A"/>
    <w:rsid w:val="00501BA9"/>
    <w:rsid w:val="00520E84"/>
    <w:rsid w:val="00531F45"/>
    <w:rsid w:val="005325F2"/>
    <w:rsid w:val="00534D0A"/>
    <w:rsid w:val="005362B8"/>
    <w:rsid w:val="005379A8"/>
    <w:rsid w:val="00540E3F"/>
    <w:rsid w:val="0054229B"/>
    <w:rsid w:val="005553CC"/>
    <w:rsid w:val="00555691"/>
    <w:rsid w:val="0055747D"/>
    <w:rsid w:val="005613C0"/>
    <w:rsid w:val="00580186"/>
    <w:rsid w:val="00592101"/>
    <w:rsid w:val="005A41CB"/>
    <w:rsid w:val="005A5428"/>
    <w:rsid w:val="005A6844"/>
    <w:rsid w:val="005A7D0C"/>
    <w:rsid w:val="005B4E30"/>
    <w:rsid w:val="005C2613"/>
    <w:rsid w:val="005D2F7C"/>
    <w:rsid w:val="005D7F28"/>
    <w:rsid w:val="005E3F5F"/>
    <w:rsid w:val="005E646F"/>
    <w:rsid w:val="005E6F24"/>
    <w:rsid w:val="005F4BBF"/>
    <w:rsid w:val="005F7241"/>
    <w:rsid w:val="00602E1E"/>
    <w:rsid w:val="006036FD"/>
    <w:rsid w:val="006101C8"/>
    <w:rsid w:val="00612285"/>
    <w:rsid w:val="006252F5"/>
    <w:rsid w:val="00625832"/>
    <w:rsid w:val="006462ED"/>
    <w:rsid w:val="006529D8"/>
    <w:rsid w:val="00654A2A"/>
    <w:rsid w:val="006624C5"/>
    <w:rsid w:val="00664CF4"/>
    <w:rsid w:val="00673337"/>
    <w:rsid w:val="006773A0"/>
    <w:rsid w:val="00682F03"/>
    <w:rsid w:val="00683FEE"/>
    <w:rsid w:val="00690CE0"/>
    <w:rsid w:val="0069235D"/>
    <w:rsid w:val="0069360A"/>
    <w:rsid w:val="0069482D"/>
    <w:rsid w:val="006955B7"/>
    <w:rsid w:val="006A04F9"/>
    <w:rsid w:val="006A7C56"/>
    <w:rsid w:val="006B4E27"/>
    <w:rsid w:val="006C666E"/>
    <w:rsid w:val="006D71C5"/>
    <w:rsid w:val="00711D21"/>
    <w:rsid w:val="00720079"/>
    <w:rsid w:val="00721F54"/>
    <w:rsid w:val="00741177"/>
    <w:rsid w:val="007426BE"/>
    <w:rsid w:val="007429D7"/>
    <w:rsid w:val="007510EE"/>
    <w:rsid w:val="007625E2"/>
    <w:rsid w:val="00765811"/>
    <w:rsid w:val="007660A1"/>
    <w:rsid w:val="007705BE"/>
    <w:rsid w:val="00777035"/>
    <w:rsid w:val="00780C14"/>
    <w:rsid w:val="00782586"/>
    <w:rsid w:val="007852AC"/>
    <w:rsid w:val="00793A95"/>
    <w:rsid w:val="007941B2"/>
    <w:rsid w:val="00795A34"/>
    <w:rsid w:val="007A5C36"/>
    <w:rsid w:val="007A62D3"/>
    <w:rsid w:val="007B00D9"/>
    <w:rsid w:val="007B2615"/>
    <w:rsid w:val="007B3BEF"/>
    <w:rsid w:val="007C0C20"/>
    <w:rsid w:val="007C23CC"/>
    <w:rsid w:val="007D3FED"/>
    <w:rsid w:val="007E20AF"/>
    <w:rsid w:val="007F0CE0"/>
    <w:rsid w:val="007F2F82"/>
    <w:rsid w:val="007F3521"/>
    <w:rsid w:val="00800507"/>
    <w:rsid w:val="00800F7B"/>
    <w:rsid w:val="00803989"/>
    <w:rsid w:val="00820A2A"/>
    <w:rsid w:val="00821105"/>
    <w:rsid w:val="0082250B"/>
    <w:rsid w:val="0082290D"/>
    <w:rsid w:val="00823401"/>
    <w:rsid w:val="00832225"/>
    <w:rsid w:val="008362E7"/>
    <w:rsid w:val="00841A58"/>
    <w:rsid w:val="0084420D"/>
    <w:rsid w:val="008505AA"/>
    <w:rsid w:val="008624A5"/>
    <w:rsid w:val="008653CB"/>
    <w:rsid w:val="00866605"/>
    <w:rsid w:val="008744B8"/>
    <w:rsid w:val="0088023F"/>
    <w:rsid w:val="00883192"/>
    <w:rsid w:val="00884FDD"/>
    <w:rsid w:val="008922C7"/>
    <w:rsid w:val="00896B19"/>
    <w:rsid w:val="008A61FD"/>
    <w:rsid w:val="008A69A8"/>
    <w:rsid w:val="008A6DE9"/>
    <w:rsid w:val="008B2812"/>
    <w:rsid w:val="008B4E7F"/>
    <w:rsid w:val="008C0097"/>
    <w:rsid w:val="008C6801"/>
    <w:rsid w:val="008D350B"/>
    <w:rsid w:val="008E4AB3"/>
    <w:rsid w:val="008E6220"/>
    <w:rsid w:val="008E7B6A"/>
    <w:rsid w:val="008F2422"/>
    <w:rsid w:val="008F2F1C"/>
    <w:rsid w:val="008F5D9E"/>
    <w:rsid w:val="009036F2"/>
    <w:rsid w:val="00914431"/>
    <w:rsid w:val="00915599"/>
    <w:rsid w:val="00930B6D"/>
    <w:rsid w:val="00933341"/>
    <w:rsid w:val="00934A0E"/>
    <w:rsid w:val="00941168"/>
    <w:rsid w:val="00954E68"/>
    <w:rsid w:val="00955B6F"/>
    <w:rsid w:val="00965407"/>
    <w:rsid w:val="009903A9"/>
    <w:rsid w:val="009937F5"/>
    <w:rsid w:val="00994A31"/>
    <w:rsid w:val="009A399B"/>
    <w:rsid w:val="009A4323"/>
    <w:rsid w:val="009B1E6D"/>
    <w:rsid w:val="009B602F"/>
    <w:rsid w:val="009B6BBA"/>
    <w:rsid w:val="009C32EE"/>
    <w:rsid w:val="009D23FE"/>
    <w:rsid w:val="009E61F2"/>
    <w:rsid w:val="009F02C1"/>
    <w:rsid w:val="009F1353"/>
    <w:rsid w:val="00A111CE"/>
    <w:rsid w:val="00A1761A"/>
    <w:rsid w:val="00A17E3F"/>
    <w:rsid w:val="00A24775"/>
    <w:rsid w:val="00A27721"/>
    <w:rsid w:val="00A53986"/>
    <w:rsid w:val="00A550F9"/>
    <w:rsid w:val="00A626FA"/>
    <w:rsid w:val="00A67159"/>
    <w:rsid w:val="00A73E8B"/>
    <w:rsid w:val="00A84ED8"/>
    <w:rsid w:val="00A9305C"/>
    <w:rsid w:val="00A9695D"/>
    <w:rsid w:val="00AA30DC"/>
    <w:rsid w:val="00AA567B"/>
    <w:rsid w:val="00AA5D93"/>
    <w:rsid w:val="00AA5D9C"/>
    <w:rsid w:val="00AA73F1"/>
    <w:rsid w:val="00AA7ADA"/>
    <w:rsid w:val="00AB0335"/>
    <w:rsid w:val="00AB1A30"/>
    <w:rsid w:val="00AB222C"/>
    <w:rsid w:val="00AB7930"/>
    <w:rsid w:val="00AC0E85"/>
    <w:rsid w:val="00AD4BB1"/>
    <w:rsid w:val="00AE197F"/>
    <w:rsid w:val="00AE2731"/>
    <w:rsid w:val="00AE47A6"/>
    <w:rsid w:val="00AF4DB3"/>
    <w:rsid w:val="00B16E3F"/>
    <w:rsid w:val="00B25F53"/>
    <w:rsid w:val="00B34E54"/>
    <w:rsid w:val="00B47973"/>
    <w:rsid w:val="00B57EDE"/>
    <w:rsid w:val="00B61D18"/>
    <w:rsid w:val="00B6655D"/>
    <w:rsid w:val="00B71A7F"/>
    <w:rsid w:val="00B7667C"/>
    <w:rsid w:val="00B86B7E"/>
    <w:rsid w:val="00B875A3"/>
    <w:rsid w:val="00B936DD"/>
    <w:rsid w:val="00BA07E4"/>
    <w:rsid w:val="00BA7254"/>
    <w:rsid w:val="00BB1398"/>
    <w:rsid w:val="00BD160B"/>
    <w:rsid w:val="00BE4DFF"/>
    <w:rsid w:val="00BE524F"/>
    <w:rsid w:val="00BE5DBA"/>
    <w:rsid w:val="00BE710D"/>
    <w:rsid w:val="00BF0048"/>
    <w:rsid w:val="00BF0ABF"/>
    <w:rsid w:val="00BF39C1"/>
    <w:rsid w:val="00BF50BD"/>
    <w:rsid w:val="00BF52FA"/>
    <w:rsid w:val="00BF5BEE"/>
    <w:rsid w:val="00C0263B"/>
    <w:rsid w:val="00C03071"/>
    <w:rsid w:val="00C11963"/>
    <w:rsid w:val="00C156CA"/>
    <w:rsid w:val="00C213C9"/>
    <w:rsid w:val="00C22BCB"/>
    <w:rsid w:val="00C246D5"/>
    <w:rsid w:val="00C26B90"/>
    <w:rsid w:val="00C32827"/>
    <w:rsid w:val="00C353CE"/>
    <w:rsid w:val="00C35CB6"/>
    <w:rsid w:val="00C360D2"/>
    <w:rsid w:val="00C43422"/>
    <w:rsid w:val="00C450AD"/>
    <w:rsid w:val="00C51B01"/>
    <w:rsid w:val="00C52627"/>
    <w:rsid w:val="00C54314"/>
    <w:rsid w:val="00C55657"/>
    <w:rsid w:val="00C56A5B"/>
    <w:rsid w:val="00C653D6"/>
    <w:rsid w:val="00C67CA9"/>
    <w:rsid w:val="00C71157"/>
    <w:rsid w:val="00C74A5C"/>
    <w:rsid w:val="00C76BA8"/>
    <w:rsid w:val="00C80F71"/>
    <w:rsid w:val="00CA5261"/>
    <w:rsid w:val="00CC1908"/>
    <w:rsid w:val="00CC5FF8"/>
    <w:rsid w:val="00CD1129"/>
    <w:rsid w:val="00CE5F7D"/>
    <w:rsid w:val="00CE622D"/>
    <w:rsid w:val="00CE65AA"/>
    <w:rsid w:val="00CE76E4"/>
    <w:rsid w:val="00CF6490"/>
    <w:rsid w:val="00CF67A4"/>
    <w:rsid w:val="00D0419E"/>
    <w:rsid w:val="00D066B1"/>
    <w:rsid w:val="00D3350E"/>
    <w:rsid w:val="00D37348"/>
    <w:rsid w:val="00D40E19"/>
    <w:rsid w:val="00D44D29"/>
    <w:rsid w:val="00D453A1"/>
    <w:rsid w:val="00D46752"/>
    <w:rsid w:val="00D5459D"/>
    <w:rsid w:val="00D5545C"/>
    <w:rsid w:val="00D644DE"/>
    <w:rsid w:val="00D711F0"/>
    <w:rsid w:val="00D77F3B"/>
    <w:rsid w:val="00D804C9"/>
    <w:rsid w:val="00D82A89"/>
    <w:rsid w:val="00D85032"/>
    <w:rsid w:val="00D8518D"/>
    <w:rsid w:val="00D8562D"/>
    <w:rsid w:val="00D876DF"/>
    <w:rsid w:val="00D91D2E"/>
    <w:rsid w:val="00DB6575"/>
    <w:rsid w:val="00DC34B6"/>
    <w:rsid w:val="00DC3816"/>
    <w:rsid w:val="00DD3285"/>
    <w:rsid w:val="00DE3680"/>
    <w:rsid w:val="00DE6F33"/>
    <w:rsid w:val="00DE7573"/>
    <w:rsid w:val="00DF1D3E"/>
    <w:rsid w:val="00DF53FE"/>
    <w:rsid w:val="00E10957"/>
    <w:rsid w:val="00E14270"/>
    <w:rsid w:val="00E46B57"/>
    <w:rsid w:val="00E46BAD"/>
    <w:rsid w:val="00E55973"/>
    <w:rsid w:val="00E60442"/>
    <w:rsid w:val="00E63390"/>
    <w:rsid w:val="00E644EB"/>
    <w:rsid w:val="00E73F03"/>
    <w:rsid w:val="00E779C0"/>
    <w:rsid w:val="00E818B9"/>
    <w:rsid w:val="00EA3FEF"/>
    <w:rsid w:val="00EA4229"/>
    <w:rsid w:val="00EC04B6"/>
    <w:rsid w:val="00EC5943"/>
    <w:rsid w:val="00ED0587"/>
    <w:rsid w:val="00EE2928"/>
    <w:rsid w:val="00EE60F6"/>
    <w:rsid w:val="00F00561"/>
    <w:rsid w:val="00F02CA8"/>
    <w:rsid w:val="00F04CD7"/>
    <w:rsid w:val="00F11039"/>
    <w:rsid w:val="00F1531D"/>
    <w:rsid w:val="00F16A37"/>
    <w:rsid w:val="00F21498"/>
    <w:rsid w:val="00F277C7"/>
    <w:rsid w:val="00F27A7C"/>
    <w:rsid w:val="00F3596F"/>
    <w:rsid w:val="00F544FD"/>
    <w:rsid w:val="00F57C80"/>
    <w:rsid w:val="00F675DB"/>
    <w:rsid w:val="00F67F1D"/>
    <w:rsid w:val="00F704EA"/>
    <w:rsid w:val="00F849E4"/>
    <w:rsid w:val="00F90038"/>
    <w:rsid w:val="00F94344"/>
    <w:rsid w:val="00F9611A"/>
    <w:rsid w:val="00F96B10"/>
    <w:rsid w:val="00FA3803"/>
    <w:rsid w:val="00FC2FC5"/>
    <w:rsid w:val="00FC449D"/>
    <w:rsid w:val="00FC5A4F"/>
    <w:rsid w:val="00FD7429"/>
    <w:rsid w:val="00FD77D2"/>
    <w:rsid w:val="00FE1C58"/>
    <w:rsid w:val="00FF2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96DEBB1"/>
  <w15:chartTrackingRefBased/>
  <w15:docId w15:val="{905094CA-C015-46F1-A9EC-620B59C7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UhC"/>
    <w:qFormat/>
    <w:rsid w:val="002738AB"/>
    <w:rPr>
      <w:rFonts w:ascii="Garamond" w:hAnsi="Garamond"/>
      <w:sz w:val="24"/>
    </w:rPr>
  </w:style>
  <w:style w:type="paragraph" w:styleId="Rubrik1">
    <w:name w:val="heading 1"/>
    <w:aliases w:val="Rubrik 1 UhC,UhC 1"/>
    <w:basedOn w:val="Normal"/>
    <w:next w:val="Normal"/>
    <w:link w:val="Rubrik1Char"/>
    <w:uiPriority w:val="9"/>
    <w:qFormat/>
    <w:rsid w:val="002738AB"/>
    <w:pPr>
      <w:keepNext/>
      <w:keepLines/>
      <w:framePr w:w="9001" w:wrap="notBeside" w:vAnchor="text" w:hAnchor="text" w:y="5"/>
      <w:numPr>
        <w:numId w:val="2"/>
      </w:numPr>
      <w:shd w:val="clear" w:color="auto" w:fill="F7F7F7"/>
      <w:spacing w:before="240" w:after="120" w:line="240" w:lineRule="auto"/>
      <w:ind w:left="431" w:hanging="431"/>
      <w:outlineLvl w:val="0"/>
    </w:pPr>
    <w:rPr>
      <w:rFonts w:ascii="Franklin Gothic Medium" w:eastAsiaTheme="majorEastAsia" w:hAnsi="Franklin Gothic Medium" w:cstheme="majorBidi"/>
      <w:sz w:val="28"/>
      <w:szCs w:val="32"/>
    </w:rPr>
  </w:style>
  <w:style w:type="paragraph" w:styleId="Rubrik2">
    <w:name w:val="heading 2"/>
    <w:aliases w:val="UhC,UhC 2"/>
    <w:basedOn w:val="Normal"/>
    <w:next w:val="Normal"/>
    <w:link w:val="Rubrik2Char"/>
    <w:uiPriority w:val="9"/>
    <w:unhideWhenUsed/>
    <w:qFormat/>
    <w:rsid w:val="002738AB"/>
    <w:pPr>
      <w:keepNext/>
      <w:keepLines/>
      <w:numPr>
        <w:ilvl w:val="1"/>
        <w:numId w:val="2"/>
      </w:numPr>
      <w:spacing w:before="240" w:after="120"/>
      <w:outlineLvl w:val="1"/>
    </w:pPr>
    <w:rPr>
      <w:rFonts w:ascii="Franklin Gothic Medium" w:eastAsiaTheme="majorEastAsia" w:hAnsi="Franklin Gothic Medium" w:cstheme="majorBidi"/>
      <w:szCs w:val="26"/>
    </w:rPr>
  </w:style>
  <w:style w:type="paragraph" w:styleId="Rubrik3">
    <w:name w:val="heading 3"/>
    <w:aliases w:val="Rubrik 3 UhC,UhC 3"/>
    <w:basedOn w:val="Normal"/>
    <w:next w:val="Normal"/>
    <w:link w:val="Rubrik3Char"/>
    <w:uiPriority w:val="9"/>
    <w:unhideWhenUsed/>
    <w:qFormat/>
    <w:rsid w:val="002738AB"/>
    <w:pPr>
      <w:keepNext/>
      <w:keepLines/>
      <w:numPr>
        <w:ilvl w:val="2"/>
        <w:numId w:val="1"/>
      </w:numPr>
      <w:spacing w:before="40" w:after="0"/>
      <w:outlineLvl w:val="2"/>
    </w:pPr>
    <w:rPr>
      <w:rFonts w:ascii="Franklin Gothic Medium" w:eastAsiaTheme="majorEastAsia" w:hAnsi="Franklin Gothic Medium" w:cstheme="majorBidi"/>
      <w:szCs w:val="24"/>
    </w:rPr>
  </w:style>
  <w:style w:type="paragraph" w:styleId="Rubrik4">
    <w:name w:val="heading 4"/>
    <w:aliases w:val="UhC 4"/>
    <w:basedOn w:val="Normal"/>
    <w:next w:val="Normal"/>
    <w:link w:val="Rubrik4Char"/>
    <w:uiPriority w:val="9"/>
    <w:unhideWhenUsed/>
    <w:qFormat/>
    <w:rsid w:val="002F4D5B"/>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4D5B"/>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2F4D5B"/>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2F4D5B"/>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2F4D5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F4D5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UhC Char,UhC 1 Char"/>
    <w:basedOn w:val="Standardstycketeckensnitt"/>
    <w:link w:val="Rubrik1"/>
    <w:uiPriority w:val="9"/>
    <w:rsid w:val="002738AB"/>
    <w:rPr>
      <w:rFonts w:ascii="Franklin Gothic Medium" w:eastAsiaTheme="majorEastAsia" w:hAnsi="Franklin Gothic Medium" w:cstheme="majorBidi"/>
      <w:sz w:val="28"/>
      <w:szCs w:val="32"/>
      <w:shd w:val="clear" w:color="auto" w:fill="F7F7F7"/>
    </w:rPr>
  </w:style>
  <w:style w:type="character" w:customStyle="1" w:styleId="Rubrik2Char">
    <w:name w:val="Rubrik 2 Char"/>
    <w:aliases w:val="UhC Char,UhC 2 Char"/>
    <w:basedOn w:val="Standardstycketeckensnitt"/>
    <w:link w:val="Rubrik2"/>
    <w:uiPriority w:val="9"/>
    <w:rsid w:val="002738AB"/>
    <w:rPr>
      <w:rFonts w:ascii="Franklin Gothic Medium" w:eastAsiaTheme="majorEastAsia" w:hAnsi="Franklin Gothic Medium" w:cstheme="majorBidi"/>
      <w:sz w:val="24"/>
      <w:szCs w:val="26"/>
    </w:rPr>
  </w:style>
  <w:style w:type="character" w:customStyle="1" w:styleId="Rubrik3Char">
    <w:name w:val="Rubrik 3 Char"/>
    <w:aliases w:val="Rubrik 3 UhC Char,UhC 3 Char"/>
    <w:basedOn w:val="Standardstycketeckensnitt"/>
    <w:link w:val="Rubrik3"/>
    <w:uiPriority w:val="9"/>
    <w:rsid w:val="002738AB"/>
    <w:rPr>
      <w:rFonts w:ascii="Franklin Gothic Medium" w:eastAsiaTheme="majorEastAsia" w:hAnsi="Franklin Gothic Medium" w:cstheme="majorBidi"/>
      <w:sz w:val="24"/>
      <w:szCs w:val="24"/>
    </w:rPr>
  </w:style>
  <w:style w:type="paragraph" w:styleId="Rubrik">
    <w:name w:val="Title"/>
    <w:aliases w:val="UhC indragen"/>
    <w:basedOn w:val="Normal"/>
    <w:next w:val="Normal"/>
    <w:link w:val="RubrikChar"/>
    <w:uiPriority w:val="10"/>
    <w:qFormat/>
    <w:rsid w:val="00C26B90"/>
    <w:pPr>
      <w:spacing w:after="0" w:line="240" w:lineRule="auto"/>
      <w:ind w:left="851"/>
      <w:contextualSpacing/>
    </w:pPr>
    <w:rPr>
      <w:rFonts w:ascii="Arial" w:eastAsiaTheme="majorEastAsia" w:hAnsi="Arial" w:cstheme="majorBidi"/>
      <w:b/>
      <w:spacing w:val="-10"/>
      <w:kern w:val="28"/>
      <w:sz w:val="28"/>
      <w:szCs w:val="56"/>
    </w:rPr>
  </w:style>
  <w:style w:type="character" w:customStyle="1" w:styleId="RubrikChar">
    <w:name w:val="Rubrik Char"/>
    <w:aliases w:val="UhC indragen Char"/>
    <w:basedOn w:val="Standardstycketeckensnitt"/>
    <w:link w:val="Rubrik"/>
    <w:uiPriority w:val="10"/>
    <w:rsid w:val="00C26B90"/>
    <w:rPr>
      <w:rFonts w:ascii="Arial" w:eastAsiaTheme="majorEastAsia" w:hAnsi="Arial" w:cstheme="majorBidi"/>
      <w:b/>
      <w:spacing w:val="-10"/>
      <w:kern w:val="28"/>
      <w:sz w:val="28"/>
      <w:szCs w:val="56"/>
    </w:rPr>
  </w:style>
  <w:style w:type="paragraph" w:styleId="Liststycke">
    <w:name w:val="List Paragraph"/>
    <w:basedOn w:val="Normal"/>
    <w:link w:val="ListstyckeChar"/>
    <w:uiPriority w:val="34"/>
    <w:qFormat/>
    <w:rsid w:val="00C26B90"/>
    <w:pPr>
      <w:ind w:left="720"/>
      <w:contextualSpacing/>
    </w:pPr>
  </w:style>
  <w:style w:type="character" w:customStyle="1" w:styleId="Rubrik4Char">
    <w:name w:val="Rubrik 4 Char"/>
    <w:aliases w:val="UhC 4 Char"/>
    <w:basedOn w:val="Standardstycketeckensnitt"/>
    <w:link w:val="Rubrik4"/>
    <w:uiPriority w:val="9"/>
    <w:rsid w:val="002F4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semiHidden/>
    <w:rsid w:val="002F4D5B"/>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2F4D5B"/>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2F4D5B"/>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2F4D5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F4D5B"/>
    <w:rPr>
      <w:rFonts w:asciiTheme="majorHAnsi" w:eastAsiaTheme="majorEastAsia" w:hAnsiTheme="majorHAnsi" w:cstheme="majorBidi"/>
      <w:i/>
      <w:iCs/>
      <w:color w:val="272727" w:themeColor="text1" w:themeTint="D8"/>
      <w:sz w:val="21"/>
      <w:szCs w:val="21"/>
    </w:rPr>
  </w:style>
  <w:style w:type="paragraph" w:styleId="Sidhuvud">
    <w:name w:val="header"/>
    <w:basedOn w:val="Normal"/>
    <w:link w:val="SidhuvudChar"/>
    <w:uiPriority w:val="99"/>
    <w:unhideWhenUsed/>
    <w:rsid w:val="002F4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4D5B"/>
    <w:rPr>
      <w:rFonts w:ascii="Times New Roman" w:hAnsi="Times New Roman"/>
      <w:sz w:val="24"/>
    </w:rPr>
  </w:style>
  <w:style w:type="paragraph" w:styleId="Sidfot">
    <w:name w:val="footer"/>
    <w:basedOn w:val="Normal"/>
    <w:link w:val="SidfotChar"/>
    <w:uiPriority w:val="99"/>
    <w:unhideWhenUsed/>
    <w:rsid w:val="002F4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4D5B"/>
    <w:rPr>
      <w:rFonts w:ascii="Times New Roman" w:hAnsi="Times New Roman"/>
      <w:sz w:val="24"/>
    </w:rPr>
  </w:style>
  <w:style w:type="paragraph" w:customStyle="1" w:styleId="eAvropBrd">
    <w:name w:val="eAvropBröd"/>
    <w:basedOn w:val="Normal"/>
    <w:link w:val="eAvropBrdChar"/>
    <w:qFormat/>
    <w:rsid w:val="00470DD0"/>
    <w:pPr>
      <w:tabs>
        <w:tab w:val="left" w:pos="3969"/>
        <w:tab w:val="left" w:pos="5670"/>
        <w:tab w:val="decimal" w:pos="7938"/>
      </w:tabs>
      <w:spacing w:after="60" w:line="240" w:lineRule="auto"/>
      <w:ind w:left="1418"/>
    </w:pPr>
    <w:rPr>
      <w:rFonts w:ascii="Verdana" w:eastAsia="Times New Roman" w:hAnsi="Verdana" w:cs="Times New Roman"/>
      <w:sz w:val="18"/>
      <w:szCs w:val="24"/>
      <w:lang w:eastAsia="sv-SE"/>
    </w:rPr>
  </w:style>
  <w:style w:type="character" w:styleId="Hyperlnk">
    <w:name w:val="Hyperlink"/>
    <w:basedOn w:val="Standardstycketeckensnitt"/>
    <w:uiPriority w:val="99"/>
    <w:unhideWhenUsed/>
    <w:rsid w:val="00A27721"/>
    <w:rPr>
      <w:color w:val="0563C1" w:themeColor="hyperlink"/>
      <w:u w:val="single"/>
    </w:rPr>
  </w:style>
  <w:style w:type="character" w:styleId="AnvndHyperlnk">
    <w:name w:val="FollowedHyperlink"/>
    <w:basedOn w:val="Standardstycketeckensnitt"/>
    <w:uiPriority w:val="99"/>
    <w:semiHidden/>
    <w:unhideWhenUsed/>
    <w:rsid w:val="00A27721"/>
    <w:rPr>
      <w:color w:val="954F72" w:themeColor="followedHyperlink"/>
      <w:u w:val="single"/>
    </w:rPr>
  </w:style>
  <w:style w:type="character" w:styleId="Kommentarsreferens">
    <w:name w:val="annotation reference"/>
    <w:basedOn w:val="Standardstycketeckensnitt"/>
    <w:uiPriority w:val="99"/>
    <w:semiHidden/>
    <w:unhideWhenUsed/>
    <w:rsid w:val="00202B1B"/>
    <w:rPr>
      <w:sz w:val="16"/>
      <w:szCs w:val="16"/>
    </w:rPr>
  </w:style>
  <w:style w:type="paragraph" w:styleId="Kommentarer">
    <w:name w:val="annotation text"/>
    <w:basedOn w:val="Normal"/>
    <w:link w:val="KommentarerChar"/>
    <w:uiPriority w:val="99"/>
    <w:semiHidden/>
    <w:unhideWhenUsed/>
    <w:rsid w:val="00202B1B"/>
    <w:pPr>
      <w:spacing w:line="240" w:lineRule="auto"/>
    </w:pPr>
    <w:rPr>
      <w:sz w:val="20"/>
      <w:szCs w:val="20"/>
    </w:rPr>
  </w:style>
  <w:style w:type="character" w:customStyle="1" w:styleId="KommentarerChar">
    <w:name w:val="Kommentarer Char"/>
    <w:basedOn w:val="Standardstycketeckensnitt"/>
    <w:link w:val="Kommentarer"/>
    <w:uiPriority w:val="99"/>
    <w:semiHidden/>
    <w:rsid w:val="00202B1B"/>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202B1B"/>
    <w:rPr>
      <w:b/>
      <w:bCs/>
    </w:rPr>
  </w:style>
  <w:style w:type="character" w:customStyle="1" w:styleId="KommentarsmneChar">
    <w:name w:val="Kommentarsämne Char"/>
    <w:basedOn w:val="KommentarerChar"/>
    <w:link w:val="Kommentarsmne"/>
    <w:uiPriority w:val="99"/>
    <w:semiHidden/>
    <w:rsid w:val="00202B1B"/>
    <w:rPr>
      <w:rFonts w:ascii="Garamond" w:hAnsi="Garamond"/>
      <w:b/>
      <w:bCs/>
      <w:sz w:val="20"/>
      <w:szCs w:val="20"/>
    </w:rPr>
  </w:style>
  <w:style w:type="paragraph" w:styleId="Ballongtext">
    <w:name w:val="Balloon Text"/>
    <w:basedOn w:val="Normal"/>
    <w:link w:val="BallongtextChar"/>
    <w:uiPriority w:val="99"/>
    <w:semiHidden/>
    <w:unhideWhenUsed/>
    <w:rsid w:val="00202B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1B"/>
    <w:rPr>
      <w:rFonts w:ascii="Segoe UI" w:hAnsi="Segoe UI" w:cs="Segoe UI"/>
      <w:sz w:val="18"/>
      <w:szCs w:val="18"/>
    </w:rPr>
  </w:style>
  <w:style w:type="paragraph" w:styleId="Revision">
    <w:name w:val="Revision"/>
    <w:hidden/>
    <w:uiPriority w:val="99"/>
    <w:semiHidden/>
    <w:rsid w:val="009F02C1"/>
    <w:pPr>
      <w:spacing w:after="0" w:line="240" w:lineRule="auto"/>
    </w:pPr>
    <w:rPr>
      <w:rFonts w:ascii="Garamond" w:hAnsi="Garamond"/>
      <w:sz w:val="24"/>
    </w:rPr>
  </w:style>
  <w:style w:type="paragraph" w:customStyle="1" w:styleId="e-Avrop1">
    <w:name w:val="e-Avrop1"/>
    <w:basedOn w:val="Normal"/>
    <w:next w:val="Normal"/>
    <w:qFormat/>
    <w:rsid w:val="00682F03"/>
    <w:pPr>
      <w:numPr>
        <w:numId w:val="8"/>
      </w:numPr>
      <w:tabs>
        <w:tab w:val="left" w:pos="1418"/>
      </w:tabs>
      <w:spacing w:before="240" w:after="0" w:line="240" w:lineRule="auto"/>
      <w:outlineLvl w:val="0"/>
    </w:pPr>
    <w:rPr>
      <w:rFonts w:ascii="Franklin Gothic Medium" w:eastAsia="Times New Roman" w:hAnsi="Franklin Gothic Medium" w:cs="Arial"/>
      <w:smallCaps/>
      <w:sz w:val="36"/>
      <w:szCs w:val="24"/>
      <w:lang w:eastAsia="sv-SE"/>
    </w:rPr>
  </w:style>
  <w:style w:type="paragraph" w:customStyle="1" w:styleId="e-Avrop2">
    <w:name w:val="e-Avrop2"/>
    <w:basedOn w:val="Normal"/>
    <w:next w:val="Normal"/>
    <w:qFormat/>
    <w:rsid w:val="00682F03"/>
    <w:pPr>
      <w:numPr>
        <w:ilvl w:val="1"/>
        <w:numId w:val="8"/>
      </w:numPr>
      <w:tabs>
        <w:tab w:val="left" w:pos="1418"/>
      </w:tabs>
      <w:spacing w:before="120" w:after="0" w:line="240" w:lineRule="auto"/>
      <w:outlineLvl w:val="1"/>
    </w:pPr>
    <w:rPr>
      <w:rFonts w:ascii="Franklin Gothic Medium" w:eastAsia="Times New Roman" w:hAnsi="Franklin Gothic Medium" w:cs="Times New Roman"/>
      <w:smallCaps/>
      <w:sz w:val="32"/>
      <w:szCs w:val="24"/>
      <w:lang w:eastAsia="sv-SE"/>
    </w:rPr>
  </w:style>
  <w:style w:type="paragraph" w:customStyle="1" w:styleId="e-Avrop3">
    <w:name w:val="e-Avrop3"/>
    <w:basedOn w:val="Normal"/>
    <w:next w:val="Normal"/>
    <w:qFormat/>
    <w:rsid w:val="00682F03"/>
    <w:pPr>
      <w:numPr>
        <w:ilvl w:val="2"/>
        <w:numId w:val="8"/>
      </w:numPr>
      <w:tabs>
        <w:tab w:val="left" w:pos="1418"/>
      </w:tabs>
      <w:spacing w:before="120" w:after="0" w:line="240" w:lineRule="auto"/>
      <w:outlineLvl w:val="2"/>
    </w:pPr>
    <w:rPr>
      <w:rFonts w:ascii="Franklin Gothic Medium" w:eastAsia="Times New Roman" w:hAnsi="Franklin Gothic Medium" w:cs="Times New Roman"/>
      <w:szCs w:val="18"/>
      <w:lang w:eastAsia="sv-SE"/>
    </w:rPr>
  </w:style>
  <w:style w:type="character" w:customStyle="1" w:styleId="eAvropBrdChar">
    <w:name w:val="eAvropBröd Char"/>
    <w:link w:val="eAvropBrd"/>
    <w:rsid w:val="00682F03"/>
    <w:rPr>
      <w:rFonts w:ascii="Verdana" w:eastAsia="Times New Roman" w:hAnsi="Verdana" w:cs="Times New Roman"/>
      <w:sz w:val="18"/>
      <w:szCs w:val="24"/>
      <w:lang w:eastAsia="sv-SE"/>
    </w:rPr>
  </w:style>
  <w:style w:type="character" w:customStyle="1" w:styleId="ListstyckeChar">
    <w:name w:val="Liststycke Char"/>
    <w:basedOn w:val="Standardstycketeckensnitt"/>
    <w:link w:val="Liststycke"/>
    <w:uiPriority w:val="34"/>
    <w:rsid w:val="0055747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7623">
      <w:bodyDiv w:val="1"/>
      <w:marLeft w:val="0"/>
      <w:marRight w:val="0"/>
      <w:marTop w:val="0"/>
      <w:marBottom w:val="0"/>
      <w:divBdr>
        <w:top w:val="none" w:sz="0" w:space="0" w:color="auto"/>
        <w:left w:val="none" w:sz="0" w:space="0" w:color="auto"/>
        <w:bottom w:val="none" w:sz="0" w:space="0" w:color="auto"/>
        <w:right w:val="none" w:sz="0" w:space="0" w:color="auto"/>
      </w:divBdr>
    </w:div>
    <w:div w:id="250823574">
      <w:bodyDiv w:val="1"/>
      <w:marLeft w:val="0"/>
      <w:marRight w:val="0"/>
      <w:marTop w:val="0"/>
      <w:marBottom w:val="0"/>
      <w:divBdr>
        <w:top w:val="none" w:sz="0" w:space="0" w:color="auto"/>
        <w:left w:val="none" w:sz="0" w:space="0" w:color="auto"/>
        <w:bottom w:val="none" w:sz="0" w:space="0" w:color="auto"/>
        <w:right w:val="none" w:sz="0" w:space="0" w:color="auto"/>
      </w:divBdr>
    </w:div>
    <w:div w:id="326177489">
      <w:bodyDiv w:val="1"/>
      <w:marLeft w:val="0"/>
      <w:marRight w:val="0"/>
      <w:marTop w:val="0"/>
      <w:marBottom w:val="0"/>
      <w:divBdr>
        <w:top w:val="none" w:sz="0" w:space="0" w:color="auto"/>
        <w:left w:val="none" w:sz="0" w:space="0" w:color="auto"/>
        <w:bottom w:val="none" w:sz="0" w:space="0" w:color="auto"/>
        <w:right w:val="none" w:sz="0" w:space="0" w:color="auto"/>
      </w:divBdr>
    </w:div>
    <w:div w:id="436218719">
      <w:bodyDiv w:val="1"/>
      <w:marLeft w:val="0"/>
      <w:marRight w:val="0"/>
      <w:marTop w:val="0"/>
      <w:marBottom w:val="0"/>
      <w:divBdr>
        <w:top w:val="none" w:sz="0" w:space="0" w:color="auto"/>
        <w:left w:val="none" w:sz="0" w:space="0" w:color="auto"/>
        <w:bottom w:val="none" w:sz="0" w:space="0" w:color="auto"/>
        <w:right w:val="none" w:sz="0" w:space="0" w:color="auto"/>
      </w:divBdr>
    </w:div>
    <w:div w:id="473714698">
      <w:bodyDiv w:val="1"/>
      <w:marLeft w:val="0"/>
      <w:marRight w:val="0"/>
      <w:marTop w:val="0"/>
      <w:marBottom w:val="0"/>
      <w:divBdr>
        <w:top w:val="none" w:sz="0" w:space="0" w:color="auto"/>
        <w:left w:val="none" w:sz="0" w:space="0" w:color="auto"/>
        <w:bottom w:val="none" w:sz="0" w:space="0" w:color="auto"/>
        <w:right w:val="none" w:sz="0" w:space="0" w:color="auto"/>
      </w:divBdr>
    </w:div>
    <w:div w:id="623657557">
      <w:bodyDiv w:val="1"/>
      <w:marLeft w:val="0"/>
      <w:marRight w:val="0"/>
      <w:marTop w:val="0"/>
      <w:marBottom w:val="0"/>
      <w:divBdr>
        <w:top w:val="none" w:sz="0" w:space="0" w:color="auto"/>
        <w:left w:val="none" w:sz="0" w:space="0" w:color="auto"/>
        <w:bottom w:val="none" w:sz="0" w:space="0" w:color="auto"/>
        <w:right w:val="none" w:sz="0" w:space="0" w:color="auto"/>
      </w:divBdr>
    </w:div>
    <w:div w:id="644433699">
      <w:bodyDiv w:val="1"/>
      <w:marLeft w:val="0"/>
      <w:marRight w:val="0"/>
      <w:marTop w:val="0"/>
      <w:marBottom w:val="0"/>
      <w:divBdr>
        <w:top w:val="none" w:sz="0" w:space="0" w:color="auto"/>
        <w:left w:val="none" w:sz="0" w:space="0" w:color="auto"/>
        <w:bottom w:val="none" w:sz="0" w:space="0" w:color="auto"/>
        <w:right w:val="none" w:sz="0" w:space="0" w:color="auto"/>
      </w:divBdr>
    </w:div>
    <w:div w:id="755173235">
      <w:bodyDiv w:val="1"/>
      <w:marLeft w:val="0"/>
      <w:marRight w:val="0"/>
      <w:marTop w:val="0"/>
      <w:marBottom w:val="0"/>
      <w:divBdr>
        <w:top w:val="none" w:sz="0" w:space="0" w:color="auto"/>
        <w:left w:val="none" w:sz="0" w:space="0" w:color="auto"/>
        <w:bottom w:val="none" w:sz="0" w:space="0" w:color="auto"/>
        <w:right w:val="none" w:sz="0" w:space="0" w:color="auto"/>
      </w:divBdr>
    </w:div>
    <w:div w:id="796335800">
      <w:bodyDiv w:val="1"/>
      <w:marLeft w:val="0"/>
      <w:marRight w:val="0"/>
      <w:marTop w:val="0"/>
      <w:marBottom w:val="0"/>
      <w:divBdr>
        <w:top w:val="none" w:sz="0" w:space="0" w:color="auto"/>
        <w:left w:val="none" w:sz="0" w:space="0" w:color="auto"/>
        <w:bottom w:val="none" w:sz="0" w:space="0" w:color="auto"/>
        <w:right w:val="none" w:sz="0" w:space="0" w:color="auto"/>
      </w:divBdr>
    </w:div>
    <w:div w:id="799764665">
      <w:bodyDiv w:val="1"/>
      <w:marLeft w:val="0"/>
      <w:marRight w:val="0"/>
      <w:marTop w:val="0"/>
      <w:marBottom w:val="0"/>
      <w:divBdr>
        <w:top w:val="none" w:sz="0" w:space="0" w:color="auto"/>
        <w:left w:val="none" w:sz="0" w:space="0" w:color="auto"/>
        <w:bottom w:val="none" w:sz="0" w:space="0" w:color="auto"/>
        <w:right w:val="none" w:sz="0" w:space="0" w:color="auto"/>
      </w:divBdr>
    </w:div>
    <w:div w:id="845898832">
      <w:bodyDiv w:val="1"/>
      <w:marLeft w:val="0"/>
      <w:marRight w:val="0"/>
      <w:marTop w:val="0"/>
      <w:marBottom w:val="0"/>
      <w:divBdr>
        <w:top w:val="none" w:sz="0" w:space="0" w:color="auto"/>
        <w:left w:val="none" w:sz="0" w:space="0" w:color="auto"/>
        <w:bottom w:val="none" w:sz="0" w:space="0" w:color="auto"/>
        <w:right w:val="none" w:sz="0" w:space="0" w:color="auto"/>
      </w:divBdr>
    </w:div>
    <w:div w:id="943416449">
      <w:bodyDiv w:val="1"/>
      <w:marLeft w:val="0"/>
      <w:marRight w:val="0"/>
      <w:marTop w:val="0"/>
      <w:marBottom w:val="0"/>
      <w:divBdr>
        <w:top w:val="none" w:sz="0" w:space="0" w:color="auto"/>
        <w:left w:val="none" w:sz="0" w:space="0" w:color="auto"/>
        <w:bottom w:val="none" w:sz="0" w:space="0" w:color="auto"/>
        <w:right w:val="none" w:sz="0" w:space="0" w:color="auto"/>
      </w:divBdr>
    </w:div>
    <w:div w:id="944729225">
      <w:bodyDiv w:val="1"/>
      <w:marLeft w:val="0"/>
      <w:marRight w:val="0"/>
      <w:marTop w:val="0"/>
      <w:marBottom w:val="0"/>
      <w:divBdr>
        <w:top w:val="none" w:sz="0" w:space="0" w:color="auto"/>
        <w:left w:val="none" w:sz="0" w:space="0" w:color="auto"/>
        <w:bottom w:val="none" w:sz="0" w:space="0" w:color="auto"/>
        <w:right w:val="none" w:sz="0" w:space="0" w:color="auto"/>
      </w:divBdr>
    </w:div>
    <w:div w:id="980156748">
      <w:bodyDiv w:val="1"/>
      <w:marLeft w:val="0"/>
      <w:marRight w:val="0"/>
      <w:marTop w:val="0"/>
      <w:marBottom w:val="0"/>
      <w:divBdr>
        <w:top w:val="none" w:sz="0" w:space="0" w:color="auto"/>
        <w:left w:val="none" w:sz="0" w:space="0" w:color="auto"/>
        <w:bottom w:val="none" w:sz="0" w:space="0" w:color="auto"/>
        <w:right w:val="none" w:sz="0" w:space="0" w:color="auto"/>
      </w:divBdr>
    </w:div>
    <w:div w:id="1019622062">
      <w:bodyDiv w:val="1"/>
      <w:marLeft w:val="0"/>
      <w:marRight w:val="0"/>
      <w:marTop w:val="0"/>
      <w:marBottom w:val="0"/>
      <w:divBdr>
        <w:top w:val="none" w:sz="0" w:space="0" w:color="auto"/>
        <w:left w:val="none" w:sz="0" w:space="0" w:color="auto"/>
        <w:bottom w:val="none" w:sz="0" w:space="0" w:color="auto"/>
        <w:right w:val="none" w:sz="0" w:space="0" w:color="auto"/>
      </w:divBdr>
    </w:div>
    <w:div w:id="1036003536">
      <w:bodyDiv w:val="1"/>
      <w:marLeft w:val="0"/>
      <w:marRight w:val="0"/>
      <w:marTop w:val="0"/>
      <w:marBottom w:val="0"/>
      <w:divBdr>
        <w:top w:val="none" w:sz="0" w:space="0" w:color="auto"/>
        <w:left w:val="none" w:sz="0" w:space="0" w:color="auto"/>
        <w:bottom w:val="none" w:sz="0" w:space="0" w:color="auto"/>
        <w:right w:val="none" w:sz="0" w:space="0" w:color="auto"/>
      </w:divBdr>
    </w:div>
    <w:div w:id="1236547062">
      <w:bodyDiv w:val="1"/>
      <w:marLeft w:val="0"/>
      <w:marRight w:val="0"/>
      <w:marTop w:val="0"/>
      <w:marBottom w:val="0"/>
      <w:divBdr>
        <w:top w:val="none" w:sz="0" w:space="0" w:color="auto"/>
        <w:left w:val="none" w:sz="0" w:space="0" w:color="auto"/>
        <w:bottom w:val="none" w:sz="0" w:space="0" w:color="auto"/>
        <w:right w:val="none" w:sz="0" w:space="0" w:color="auto"/>
      </w:divBdr>
    </w:div>
    <w:div w:id="1562055496">
      <w:bodyDiv w:val="1"/>
      <w:marLeft w:val="0"/>
      <w:marRight w:val="0"/>
      <w:marTop w:val="0"/>
      <w:marBottom w:val="0"/>
      <w:divBdr>
        <w:top w:val="none" w:sz="0" w:space="0" w:color="auto"/>
        <w:left w:val="none" w:sz="0" w:space="0" w:color="auto"/>
        <w:bottom w:val="none" w:sz="0" w:space="0" w:color="auto"/>
        <w:right w:val="none" w:sz="0" w:space="0" w:color="auto"/>
      </w:divBdr>
    </w:div>
    <w:div w:id="1689671432">
      <w:bodyDiv w:val="1"/>
      <w:marLeft w:val="0"/>
      <w:marRight w:val="0"/>
      <w:marTop w:val="0"/>
      <w:marBottom w:val="0"/>
      <w:divBdr>
        <w:top w:val="none" w:sz="0" w:space="0" w:color="auto"/>
        <w:left w:val="none" w:sz="0" w:space="0" w:color="auto"/>
        <w:bottom w:val="none" w:sz="0" w:space="0" w:color="auto"/>
        <w:right w:val="none" w:sz="0" w:space="0" w:color="auto"/>
      </w:divBdr>
    </w:div>
    <w:div w:id="1742483727">
      <w:bodyDiv w:val="1"/>
      <w:marLeft w:val="0"/>
      <w:marRight w:val="0"/>
      <w:marTop w:val="0"/>
      <w:marBottom w:val="0"/>
      <w:divBdr>
        <w:top w:val="none" w:sz="0" w:space="0" w:color="auto"/>
        <w:left w:val="none" w:sz="0" w:space="0" w:color="auto"/>
        <w:bottom w:val="none" w:sz="0" w:space="0" w:color="auto"/>
        <w:right w:val="none" w:sz="0" w:space="0" w:color="auto"/>
      </w:divBdr>
    </w:div>
    <w:div w:id="1807815006">
      <w:bodyDiv w:val="1"/>
      <w:marLeft w:val="0"/>
      <w:marRight w:val="0"/>
      <w:marTop w:val="0"/>
      <w:marBottom w:val="0"/>
      <w:divBdr>
        <w:top w:val="none" w:sz="0" w:space="0" w:color="auto"/>
        <w:left w:val="none" w:sz="0" w:space="0" w:color="auto"/>
        <w:bottom w:val="none" w:sz="0" w:space="0" w:color="auto"/>
        <w:right w:val="none" w:sz="0" w:space="0" w:color="auto"/>
      </w:divBdr>
    </w:div>
    <w:div w:id="1845779408">
      <w:bodyDiv w:val="1"/>
      <w:marLeft w:val="0"/>
      <w:marRight w:val="0"/>
      <w:marTop w:val="0"/>
      <w:marBottom w:val="0"/>
      <w:divBdr>
        <w:top w:val="none" w:sz="0" w:space="0" w:color="auto"/>
        <w:left w:val="none" w:sz="0" w:space="0" w:color="auto"/>
        <w:bottom w:val="none" w:sz="0" w:space="0" w:color="auto"/>
        <w:right w:val="none" w:sz="0" w:space="0" w:color="auto"/>
      </w:divBdr>
    </w:div>
    <w:div w:id="1884831267">
      <w:bodyDiv w:val="1"/>
      <w:marLeft w:val="0"/>
      <w:marRight w:val="0"/>
      <w:marTop w:val="0"/>
      <w:marBottom w:val="0"/>
      <w:divBdr>
        <w:top w:val="none" w:sz="0" w:space="0" w:color="auto"/>
        <w:left w:val="none" w:sz="0" w:space="0" w:color="auto"/>
        <w:bottom w:val="none" w:sz="0" w:space="0" w:color="auto"/>
        <w:right w:val="none" w:sz="0" w:space="0" w:color="auto"/>
      </w:divBdr>
    </w:div>
    <w:div w:id="20897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yperlink" Target="https://www.ludvika.se/" TargetMode="External" />
  <Relationship Id="rId18" Type="http://schemas.openxmlformats.org/officeDocument/2006/relationships/header" Target="header2.xml" />
  <Relationship Id="rId3" Type="http://schemas.openxmlformats.org/officeDocument/2006/relationships/customXml" Target="../customXml/item2.xml" />
  <Relationship Id="rId21" Type="http://schemas.openxmlformats.org/officeDocument/2006/relationships/theme" Target="theme/theme1.xml" />
  <Relationship Id="rId7" Type="http://schemas.openxmlformats.org/officeDocument/2006/relationships/settings" Target="settings.xml" />
  <Relationship Id="rId12" Type="http://schemas.openxmlformats.org/officeDocument/2006/relationships/hyperlink" Target="https://hedemora.se/sv/" TargetMode="External" />
  <Relationship Id="rId17" Type="http://schemas.openxmlformats.org/officeDocument/2006/relationships/footer" Target="footer1.xml" />
  <Relationship Id="rId2" Type="http://schemas.openxmlformats.org/officeDocument/2006/relationships/customXml" Target="../customXml/item1.xml" />
  <Relationship Id="rId16" Type="http://schemas.openxmlformats.org/officeDocument/2006/relationships/header" Target="header1.xml" />
  <Relationship Id="rId20"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styles" Target="styles.xml" />
  <Relationship Id="rId11" Type="http://schemas.openxmlformats.org/officeDocument/2006/relationships/hyperlink" Target="http://www.falun.se" TargetMode="External" />
  <Relationship Id="rId5" Type="http://schemas.openxmlformats.org/officeDocument/2006/relationships/numbering" Target="numbering.xml" />
  <Relationship Id="rId15" Type="http://schemas.openxmlformats.org/officeDocument/2006/relationships/hyperlink" Target="https://skr.se/skr/ekonomijuridik/juridik/offentlighetsekretessarkivdataskyddsforordningengdpr/dataskyddsforordningengdpr/avtalpersonuppgiftsbitrade.12704.html" TargetMode="External" />
  <Relationship Id="rId10" Type="http://schemas.openxmlformats.org/officeDocument/2006/relationships/endnotes" Target="endnotes.xml" />
  <Relationship Id="rId19" Type="http://schemas.openxmlformats.org/officeDocument/2006/relationships/footer" Target="footer2.xml" />
  <Relationship Id="rId4" Type="http://schemas.openxmlformats.org/officeDocument/2006/relationships/customXml" Target="../customXml/item3.xml" />
  <Relationship Id="rId9" Type="http://schemas.openxmlformats.org/officeDocument/2006/relationships/footnotes" Target="footnotes.xml" />
  <Relationship Id="rId14" Type="http://schemas.openxmlformats.org/officeDocument/2006/relationships/hyperlink" Target="http://www.maserhallen.se" TargetMode="Externa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g" />
</Relationships>
</file>

<file path=word/_rels/header2.xml.rels>&#65279;<?xml version="1.0" encoding="UTF-8" standalone="yes"?>
<Relationships xmlns="http://schemas.openxmlformats.org/package/2006/relationships">
  <Relationship Id="rId1" Type="http://schemas.openxmlformats.org/officeDocument/2006/relationships/image" Target="media/image1.jpg"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78AFE77F33D547954C5E7FB1B0433D" ma:contentTypeVersion="5" ma:contentTypeDescription="Skapa ett nytt dokument." ma:contentTypeScope="" ma:versionID="37d502179c9a36be04880cd5cf1dbd41">
  <xsd:schema xmlns:xsd="http://www.w3.org/2001/XMLSchema" xmlns:xs="http://www.w3.org/2001/XMLSchema" xmlns:p="http://schemas.microsoft.com/office/2006/metadata/properties" xmlns:ns3="c20bff38-30d2-4d64-95eb-964c94b4ee85" xmlns:ns4="e66d5492-25de-455c-8823-cbf348a24fd2" targetNamespace="http://schemas.microsoft.com/office/2006/metadata/properties" ma:root="true" ma:fieldsID="4340bf13f69894bf7c375934c30fa1e7" ns3:_="" ns4:_="">
    <xsd:import namespace="c20bff38-30d2-4d64-95eb-964c94b4ee85"/>
    <xsd:import namespace="e66d5492-25de-455c-8823-cbf348a24f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ff38-30d2-4d64-95eb-964c94b4ee8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d5492-25de-455c-8823-cbf348a24f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A1A93-F0E4-493A-9499-DC987B6490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20bff38-30d2-4d64-95eb-964c94b4ee85"/>
    <ds:schemaRef ds:uri="http://schemas.microsoft.com/office/infopath/2007/PartnerControls"/>
    <ds:schemaRef ds:uri="e66d5492-25de-455c-8823-cbf348a24fd2"/>
    <ds:schemaRef ds:uri="http://www.w3.org/XML/1998/namespace"/>
    <ds:schemaRef ds:uri="http://purl.org/dc/dcmitype/"/>
  </ds:schemaRefs>
</ds:datastoreItem>
</file>

<file path=customXml/itemProps2.xml><?xml version="1.0" encoding="utf-8"?>
<ds:datastoreItem xmlns:ds="http://schemas.openxmlformats.org/officeDocument/2006/customXml" ds:itemID="{7C793380-742C-4041-84C9-FDFFE63B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bff38-30d2-4d64-95eb-964c94b4ee85"/>
    <ds:schemaRef ds:uri="e66d5492-25de-455c-8823-cbf348a24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6A1B2-5E83-4F2E-9737-4020D3E6E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4896</Words>
  <Characters>25955</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Hjärtenfalk</dc:creator>
  <cp:keywords/>
  <dc:description/>
  <cp:lastModifiedBy>Monica Sundberg</cp:lastModifiedBy>
  <cp:revision>7</cp:revision>
  <cp:lastPrinted>2020-04-07T07:11:00Z</cp:lastPrinted>
  <dcterms:created xsi:type="dcterms:W3CDTF">2022-01-10T08:02:00Z</dcterms:created>
  <dcterms:modified xsi:type="dcterms:W3CDTF">2022-01-10T09:03:00Z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0x010100C578AFE77F33D547954C5E7FB1B0433D</vt:lpwstr>
  </property>
</Properties>
</file>